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891691" w14:textId="77777777" w:rsidR="00917137" w:rsidRDefault="00000000">
      <w:pPr>
        <w:spacing w:after="0"/>
        <w:jc w:val="center"/>
      </w:pPr>
      <w:r>
        <w:rPr>
          <w:noProof/>
        </w:rPr>
        <w:drawing>
          <wp:inline distT="0" distB="0" distL="0" distR="0" wp14:anchorId="08A91091" wp14:editId="58ED3C6D">
            <wp:extent cx="2933699" cy="331076"/>
            <wp:effectExtent l="0" t="0" r="0" b="0"/>
            <wp:docPr id="1" name="Picture 1" descr="YourDNP.com logo" title="YourDNP.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8"/>
                    <a:stretch>
                      <a:fillRect/>
                    </a:stretch>
                  </pic:blipFill>
                  <pic:spPr>
                    <a:xfrm>
                      <a:off x="0" y="0"/>
                      <a:ext cx="2933699" cy="331076"/>
                    </a:xfrm>
                    <a:prstGeom prst="rect">
                      <a:avLst/>
                    </a:prstGeom>
                  </pic:spPr>
                </pic:pic>
              </a:graphicData>
            </a:graphic>
          </wp:inline>
        </w:drawing>
      </w:r>
    </w:p>
    <w:p w14:paraId="0C336D5B" w14:textId="77777777" w:rsidR="00917137" w:rsidRDefault="00000000">
      <w:pPr>
        <w:spacing w:after="40"/>
        <w:jc w:val="center"/>
      </w:pPr>
      <w:r>
        <w:rPr>
          <w:rFonts w:ascii="EB Garamond" w:hAnsi="EB Garamond"/>
          <w:b/>
          <w:sz w:val="50"/>
        </w:rPr>
        <w:t>Evidence Synthesis Writing Guide &amp; Worksheet</w:t>
      </w:r>
    </w:p>
    <w:p w14:paraId="2BF6E3C6" w14:textId="77777777" w:rsidR="00917137" w:rsidRDefault="00000000">
      <w:pPr>
        <w:spacing w:after="40"/>
        <w:jc w:val="center"/>
      </w:pPr>
      <w:r>
        <w:rPr>
          <w:b/>
          <w:color w:val="2B6B27"/>
          <w:sz w:val="20"/>
        </w:rPr>
        <w:t>COMPLETED EXAMPLE</w:t>
      </w:r>
    </w:p>
    <w:p w14:paraId="398CE0BF" w14:textId="77777777" w:rsidR="00917137" w:rsidRDefault="00000000">
      <w:pPr>
        <w:spacing w:after="160"/>
        <w:jc w:val="center"/>
      </w:pPr>
      <w:r>
        <w:rPr>
          <w:rFonts w:ascii="EB Garamond" w:hAnsi="EB Garamond"/>
          <w:color w:val="66706A"/>
          <w:sz w:val="25"/>
        </w:rPr>
        <w:t>Build evidence-supported claims and synthesis paragraphs by comparing direction, magnitude, methods, applicability, and uncertainty across sources.</w:t>
      </w:r>
    </w:p>
    <w:tbl>
      <w:tblPr>
        <w:tblW w:w="0" w:type="auto"/>
        <w:jc w:val="center"/>
        <w:tblBorders>
          <w:top w:val="single" w:sz="4" w:space="0" w:color="D7DED5"/>
          <w:left w:val="single" w:sz="4" w:space="0" w:color="D7DED5"/>
          <w:bottom w:val="single" w:sz="4" w:space="0" w:color="D7DED5"/>
          <w:right w:val="single" w:sz="4" w:space="0" w:color="D7DED5"/>
          <w:insideH w:val="single" w:sz="4" w:space="0" w:color="D7DED5"/>
          <w:insideV w:val="single" w:sz="4" w:space="0" w:color="D7DED5"/>
        </w:tblBorders>
        <w:tblLook w:val="04A0" w:firstRow="1" w:lastRow="0" w:firstColumn="1" w:lastColumn="0" w:noHBand="0" w:noVBand="1"/>
      </w:tblPr>
      <w:tblGrid>
        <w:gridCol w:w="10282"/>
      </w:tblGrid>
      <w:tr w:rsidR="00917137" w14:paraId="7140C170" w14:textId="77777777">
        <w:trPr>
          <w:jc w:val="center"/>
        </w:trPr>
        <w:tc>
          <w:tcPr>
            <w:tcW w:w="10282" w:type="dxa"/>
            <w:shd w:val="clear" w:color="auto" w:fill="EEF5ED"/>
            <w:vAlign w:val="center"/>
          </w:tcPr>
          <w:p w14:paraId="6C96D39B" w14:textId="77777777" w:rsidR="00917137" w:rsidRDefault="00000000">
            <w:pPr>
              <w:spacing w:after="0"/>
            </w:pPr>
            <w:r>
              <w:rPr>
                <w:sz w:val="18"/>
              </w:rPr>
              <w:t>Educational hypertension evidence example. Published-study descriptions are based on the cited sources; the practice question and synthesis exercise are instructional.</w:t>
            </w:r>
          </w:p>
        </w:tc>
      </w:tr>
    </w:tbl>
    <w:p w14:paraId="5C49E7B0" w14:textId="77777777" w:rsidR="00917137" w:rsidRDefault="00917137"/>
    <w:tbl>
      <w:tblPr>
        <w:tblW w:w="0" w:type="auto"/>
        <w:jc w:val="center"/>
        <w:tblBorders>
          <w:top w:val="single" w:sz="4" w:space="0" w:color="D7DED5"/>
          <w:left w:val="single" w:sz="4" w:space="0" w:color="D7DED5"/>
          <w:bottom w:val="single" w:sz="4" w:space="0" w:color="D7DED5"/>
          <w:right w:val="single" w:sz="4" w:space="0" w:color="D7DED5"/>
          <w:insideH w:val="single" w:sz="4" w:space="0" w:color="D7DED5"/>
          <w:insideV w:val="single" w:sz="4" w:space="0" w:color="D7DED5"/>
        </w:tblBorders>
        <w:tblLook w:val="04A0" w:firstRow="1" w:lastRow="0" w:firstColumn="1" w:lastColumn="0" w:noHBand="0" w:noVBand="1"/>
      </w:tblPr>
      <w:tblGrid>
        <w:gridCol w:w="5141"/>
        <w:gridCol w:w="5141"/>
      </w:tblGrid>
      <w:tr w:rsidR="00917137" w14:paraId="4792C7CF" w14:textId="77777777">
        <w:trPr>
          <w:jc w:val="center"/>
        </w:trPr>
        <w:tc>
          <w:tcPr>
            <w:tcW w:w="5141" w:type="dxa"/>
            <w:shd w:val="clear" w:color="auto" w:fill="EEF5ED"/>
            <w:vAlign w:val="center"/>
          </w:tcPr>
          <w:p w14:paraId="1A4A2A79" w14:textId="77777777" w:rsidR="00917137" w:rsidRDefault="00000000">
            <w:pPr>
              <w:spacing w:after="0"/>
            </w:pPr>
            <w:r>
              <w:rPr>
                <w:b/>
                <w:color w:val="2B6B27"/>
                <w:sz w:val="18"/>
              </w:rPr>
              <w:t>Student / Project Lead</w:t>
            </w:r>
          </w:p>
        </w:tc>
        <w:tc>
          <w:tcPr>
            <w:tcW w:w="5141" w:type="dxa"/>
            <w:vAlign w:val="center"/>
          </w:tcPr>
          <w:p w14:paraId="2A4C2E23" w14:textId="77777777" w:rsidR="00917137" w:rsidRDefault="00000000">
            <w:pPr>
              <w:spacing w:after="0"/>
            </w:pPr>
            <w:r>
              <w:rPr>
                <w:sz w:val="20"/>
              </w:rPr>
              <w:t>YourDNP.com</w:t>
            </w:r>
          </w:p>
        </w:tc>
      </w:tr>
      <w:tr w:rsidR="00917137" w14:paraId="2BA00220" w14:textId="77777777">
        <w:trPr>
          <w:jc w:val="center"/>
        </w:trPr>
        <w:tc>
          <w:tcPr>
            <w:tcW w:w="5141" w:type="dxa"/>
            <w:shd w:val="clear" w:color="auto" w:fill="EEF5ED"/>
            <w:vAlign w:val="center"/>
          </w:tcPr>
          <w:p w14:paraId="65083AE5" w14:textId="77777777" w:rsidR="00917137" w:rsidRDefault="00000000">
            <w:pPr>
              <w:spacing w:after="0"/>
            </w:pPr>
            <w:r>
              <w:rPr>
                <w:b/>
                <w:color w:val="2B6B27"/>
                <w:sz w:val="18"/>
              </w:rPr>
              <w:t>Course / Project</w:t>
            </w:r>
          </w:p>
        </w:tc>
        <w:tc>
          <w:tcPr>
            <w:tcW w:w="5141" w:type="dxa"/>
            <w:vAlign w:val="center"/>
          </w:tcPr>
          <w:p w14:paraId="07C85636" w14:textId="77777777" w:rsidR="00917137" w:rsidRDefault="00000000">
            <w:pPr>
              <w:spacing w:after="0"/>
            </w:pPr>
            <w:r>
              <w:rPr>
                <w:sz w:val="20"/>
              </w:rPr>
              <w:t>Educational Example</w:t>
            </w:r>
          </w:p>
        </w:tc>
      </w:tr>
      <w:tr w:rsidR="00917137" w14:paraId="23770637" w14:textId="77777777">
        <w:trPr>
          <w:jc w:val="center"/>
        </w:trPr>
        <w:tc>
          <w:tcPr>
            <w:tcW w:w="5141" w:type="dxa"/>
            <w:shd w:val="clear" w:color="auto" w:fill="EEF5ED"/>
            <w:vAlign w:val="center"/>
          </w:tcPr>
          <w:p w14:paraId="347E5B6B" w14:textId="77777777" w:rsidR="00917137" w:rsidRDefault="00000000">
            <w:pPr>
              <w:spacing w:after="0"/>
            </w:pPr>
            <w:r>
              <w:rPr>
                <w:b/>
                <w:color w:val="2B6B27"/>
                <w:sz w:val="18"/>
              </w:rPr>
              <w:t>Faculty / Mentor</w:t>
            </w:r>
          </w:p>
        </w:tc>
        <w:tc>
          <w:tcPr>
            <w:tcW w:w="5141" w:type="dxa"/>
            <w:vAlign w:val="center"/>
          </w:tcPr>
          <w:p w14:paraId="6E85F0E2" w14:textId="77777777" w:rsidR="00917137" w:rsidRDefault="00000000">
            <w:pPr>
              <w:spacing w:after="0"/>
            </w:pPr>
            <w:r>
              <w:rPr>
                <w:sz w:val="20"/>
              </w:rPr>
              <w:t>Example Faculty / Mentor</w:t>
            </w:r>
          </w:p>
        </w:tc>
      </w:tr>
      <w:tr w:rsidR="00917137" w14:paraId="070C071F" w14:textId="77777777">
        <w:trPr>
          <w:jc w:val="center"/>
        </w:trPr>
        <w:tc>
          <w:tcPr>
            <w:tcW w:w="5141" w:type="dxa"/>
            <w:shd w:val="clear" w:color="auto" w:fill="EEF5ED"/>
            <w:vAlign w:val="center"/>
          </w:tcPr>
          <w:p w14:paraId="2836260D" w14:textId="77777777" w:rsidR="00917137" w:rsidRDefault="00000000">
            <w:pPr>
              <w:spacing w:after="0"/>
            </w:pPr>
            <w:r>
              <w:rPr>
                <w:b/>
                <w:color w:val="2B6B27"/>
                <w:sz w:val="18"/>
              </w:rPr>
              <w:t>Date started</w:t>
            </w:r>
          </w:p>
        </w:tc>
        <w:tc>
          <w:tcPr>
            <w:tcW w:w="5141" w:type="dxa"/>
            <w:vAlign w:val="center"/>
          </w:tcPr>
          <w:p w14:paraId="405E91CC" w14:textId="77777777" w:rsidR="00917137" w:rsidRDefault="00000000">
            <w:pPr>
              <w:spacing w:after="0"/>
            </w:pPr>
            <w:r>
              <w:rPr>
                <w:sz w:val="20"/>
              </w:rPr>
              <w:t>August 2026</w:t>
            </w:r>
          </w:p>
        </w:tc>
      </w:tr>
    </w:tbl>
    <w:p w14:paraId="7379D2BA" w14:textId="77777777" w:rsidR="00917137" w:rsidRDefault="00917137"/>
    <w:p w14:paraId="239618B1" w14:textId="77777777" w:rsidR="00917137" w:rsidRDefault="00000000">
      <w:pPr>
        <w:keepNext/>
        <w:pBdr>
          <w:bottom w:val="single" w:sz="8" w:space="4" w:color="2B6B27"/>
        </w:pBdr>
        <w:spacing w:before="160" w:after="100"/>
      </w:pPr>
      <w:r>
        <w:rPr>
          <w:rFonts w:ascii="EB Garamond" w:hAnsi="EB Garamond"/>
          <w:b/>
          <w:color w:val="2B6B27"/>
          <w:sz w:val="30"/>
        </w:rPr>
        <w:t xml:space="preserve">1. </w:t>
      </w:r>
      <w:r>
        <w:rPr>
          <w:rFonts w:ascii="EB Garamond" w:hAnsi="EB Garamond"/>
          <w:b/>
          <w:sz w:val="30"/>
        </w:rPr>
        <w:t>Synthesis Claim</w:t>
      </w:r>
    </w:p>
    <w:tbl>
      <w:tblPr>
        <w:tblW w:w="0" w:type="auto"/>
        <w:jc w:val="center"/>
        <w:tblBorders>
          <w:top w:val="single" w:sz="4" w:space="0" w:color="D7DED5"/>
          <w:left w:val="single" w:sz="4" w:space="0" w:color="D7DED5"/>
          <w:bottom w:val="single" w:sz="4" w:space="0" w:color="D7DED5"/>
          <w:right w:val="single" w:sz="4" w:space="0" w:color="D7DED5"/>
          <w:insideH w:val="single" w:sz="4" w:space="0" w:color="D7DED5"/>
          <w:insideV w:val="single" w:sz="4" w:space="0" w:color="D7DED5"/>
        </w:tblBorders>
        <w:tblLook w:val="04A0" w:firstRow="1" w:lastRow="0" w:firstColumn="1" w:lastColumn="0" w:noHBand="0" w:noVBand="1"/>
      </w:tblPr>
      <w:tblGrid>
        <w:gridCol w:w="2070"/>
        <w:gridCol w:w="8212"/>
      </w:tblGrid>
      <w:tr w:rsidR="00917137" w14:paraId="0D3FB821" w14:textId="77777777" w:rsidTr="00857F3F">
        <w:trPr>
          <w:cantSplit/>
          <w:jc w:val="center"/>
        </w:trPr>
        <w:tc>
          <w:tcPr>
            <w:tcW w:w="2070" w:type="dxa"/>
            <w:shd w:val="clear" w:color="auto" w:fill="EEF5ED"/>
            <w:vAlign w:val="center"/>
          </w:tcPr>
          <w:p w14:paraId="503E0029" w14:textId="77777777" w:rsidR="00917137" w:rsidRDefault="00000000">
            <w:pPr>
              <w:spacing w:after="0"/>
            </w:pPr>
            <w:r>
              <w:rPr>
                <w:b/>
                <w:color w:val="2B6B27"/>
                <w:sz w:val="18"/>
              </w:rPr>
              <w:t>Focused question</w:t>
            </w:r>
          </w:p>
        </w:tc>
        <w:tc>
          <w:tcPr>
            <w:tcW w:w="8212" w:type="dxa"/>
            <w:vAlign w:val="center"/>
          </w:tcPr>
          <w:p w14:paraId="75991822" w14:textId="77777777" w:rsidR="00917137" w:rsidRDefault="00000000">
            <w:pPr>
              <w:spacing w:after="0"/>
            </w:pPr>
            <w:r>
              <w:rPr>
                <w:sz w:val="20"/>
              </w:rPr>
              <w:t>Does self-measured home BP monitoring with structured clinical support improve systolic BP in adults with uncontrolled hypertension in primary care?</w:t>
            </w:r>
          </w:p>
        </w:tc>
      </w:tr>
      <w:tr w:rsidR="00917137" w14:paraId="3B7D862A" w14:textId="77777777" w:rsidTr="00857F3F">
        <w:trPr>
          <w:cantSplit/>
          <w:jc w:val="center"/>
        </w:trPr>
        <w:tc>
          <w:tcPr>
            <w:tcW w:w="2070" w:type="dxa"/>
            <w:shd w:val="clear" w:color="auto" w:fill="EEF5ED"/>
            <w:vAlign w:val="center"/>
          </w:tcPr>
          <w:p w14:paraId="6087937E" w14:textId="77777777" w:rsidR="00917137" w:rsidRDefault="00000000">
            <w:pPr>
              <w:spacing w:after="0"/>
            </w:pPr>
            <w:r>
              <w:rPr>
                <w:b/>
                <w:color w:val="2B6B27"/>
                <w:sz w:val="18"/>
              </w:rPr>
              <w:t>Claim to test across sources</w:t>
            </w:r>
          </w:p>
        </w:tc>
        <w:tc>
          <w:tcPr>
            <w:tcW w:w="8212" w:type="dxa"/>
            <w:vAlign w:val="center"/>
          </w:tcPr>
          <w:p w14:paraId="4C3229E1" w14:textId="77777777" w:rsidR="00917137" w:rsidRDefault="00000000">
            <w:pPr>
              <w:spacing w:after="0"/>
            </w:pPr>
            <w:r>
              <w:rPr>
                <w:sz w:val="20"/>
              </w:rPr>
              <w:t>Supported home BP monitoring can modestly improve systolic BP, with larger benefit when monitoring is paired with active co-interventions.</w:t>
            </w:r>
          </w:p>
        </w:tc>
      </w:tr>
      <w:tr w:rsidR="00917137" w14:paraId="5E4156AA" w14:textId="77777777" w:rsidTr="00857F3F">
        <w:trPr>
          <w:cantSplit/>
          <w:jc w:val="center"/>
        </w:trPr>
        <w:tc>
          <w:tcPr>
            <w:tcW w:w="2070" w:type="dxa"/>
            <w:shd w:val="clear" w:color="auto" w:fill="EEF5ED"/>
            <w:vAlign w:val="center"/>
          </w:tcPr>
          <w:p w14:paraId="5990C289" w14:textId="77777777" w:rsidR="00917137" w:rsidRDefault="00000000">
            <w:pPr>
              <w:spacing w:after="0"/>
            </w:pPr>
            <w:r>
              <w:rPr>
                <w:b/>
                <w:color w:val="2B6B27"/>
                <w:sz w:val="18"/>
              </w:rPr>
              <w:t>Directly contributing evidence</w:t>
            </w:r>
          </w:p>
        </w:tc>
        <w:tc>
          <w:tcPr>
            <w:tcW w:w="8212" w:type="dxa"/>
            <w:vAlign w:val="center"/>
          </w:tcPr>
          <w:p w14:paraId="2183F456" w14:textId="77777777" w:rsidR="00917137" w:rsidRDefault="00000000">
            <w:pPr>
              <w:spacing w:after="0"/>
            </w:pPr>
            <w:r>
              <w:rPr>
                <w:sz w:val="20"/>
              </w:rPr>
              <w:t>Tucker et al. (2017), TASMINH4 (McManus et al., 2018), and HOME BP (McManus et al., 2021).</w:t>
            </w:r>
          </w:p>
        </w:tc>
      </w:tr>
      <w:tr w:rsidR="00917137" w14:paraId="772BFCD3" w14:textId="77777777" w:rsidTr="00857F3F">
        <w:trPr>
          <w:cantSplit/>
          <w:jc w:val="center"/>
        </w:trPr>
        <w:tc>
          <w:tcPr>
            <w:tcW w:w="2070" w:type="dxa"/>
            <w:shd w:val="clear" w:color="auto" w:fill="EEF5ED"/>
            <w:vAlign w:val="center"/>
          </w:tcPr>
          <w:p w14:paraId="0BA6A648" w14:textId="77777777" w:rsidR="00917137" w:rsidRDefault="00000000">
            <w:pPr>
              <w:spacing w:after="0"/>
            </w:pPr>
            <w:r>
              <w:rPr>
                <w:b/>
                <w:color w:val="2B6B27"/>
                <w:sz w:val="18"/>
              </w:rPr>
              <w:t>Important caveat</w:t>
            </w:r>
          </w:p>
        </w:tc>
        <w:tc>
          <w:tcPr>
            <w:tcW w:w="8212" w:type="dxa"/>
            <w:vAlign w:val="center"/>
          </w:tcPr>
          <w:p w14:paraId="1345C890" w14:textId="77777777" w:rsidR="00917137" w:rsidRDefault="00000000">
            <w:pPr>
              <w:spacing w:after="0"/>
            </w:pPr>
            <w:r>
              <w:rPr>
                <w:sz w:val="20"/>
              </w:rPr>
              <w:t>Intervention intensity, technology requirements, populations, and follow-up differ across sources.</w:t>
            </w:r>
          </w:p>
        </w:tc>
      </w:tr>
    </w:tbl>
    <w:p w14:paraId="6D8F138D" w14:textId="77777777" w:rsidR="00917137" w:rsidRDefault="00917137"/>
    <w:tbl>
      <w:tblPr>
        <w:tblW w:w="0" w:type="auto"/>
        <w:tblBorders>
          <w:top w:val="single" w:sz="4" w:space="0" w:color="D7DED5"/>
          <w:left w:val="single" w:sz="4" w:space="0" w:color="D7DED5"/>
          <w:bottom w:val="single" w:sz="4" w:space="0" w:color="D7DED5"/>
          <w:right w:val="single" w:sz="4" w:space="0" w:color="D7DED5"/>
          <w:insideH w:val="single" w:sz="4" w:space="0" w:color="D7DED5"/>
          <w:insideV w:val="single" w:sz="4" w:space="0" w:color="D7DED5"/>
        </w:tblBorders>
        <w:tblLook w:val="04A0" w:firstRow="1" w:lastRow="0" w:firstColumn="1" w:lastColumn="0" w:noHBand="0" w:noVBand="1"/>
      </w:tblPr>
      <w:tblGrid>
        <w:gridCol w:w="10282"/>
      </w:tblGrid>
      <w:tr w:rsidR="00917137" w14:paraId="56BB3DE7" w14:textId="77777777">
        <w:trPr>
          <w:cantSplit/>
        </w:trPr>
        <w:tc>
          <w:tcPr>
            <w:tcW w:w="10282" w:type="dxa"/>
            <w:shd w:val="clear" w:color="auto" w:fill="F4F6F3"/>
          </w:tcPr>
          <w:p w14:paraId="24EDED74" w14:textId="77777777" w:rsidR="00917137" w:rsidRDefault="00000000">
            <w:pPr>
              <w:spacing w:after="20"/>
            </w:pPr>
            <w:r>
              <w:rPr>
                <w:b/>
                <w:color w:val="2B6B27"/>
                <w:sz w:val="19"/>
              </w:rPr>
              <w:t>Synthesis Principle</w:t>
            </w:r>
            <w:r>
              <w:rPr>
                <w:b/>
                <w:color w:val="2B6B27"/>
                <w:sz w:val="19"/>
              </w:rPr>
              <w:br/>
            </w:r>
            <w:r>
              <w:rPr>
                <w:sz w:val="19"/>
              </w:rPr>
              <w:t>Evidence synthesis organizes findings across sources around a question or claim. It should show convergence, differences, methodological considerations, and applicability instead of presenting a sequence of disconnected article summaries (Aromataris et al., 2024).</w:t>
            </w:r>
          </w:p>
        </w:tc>
      </w:tr>
    </w:tbl>
    <w:p w14:paraId="68429AB0" w14:textId="77777777" w:rsidR="00917137" w:rsidRDefault="00917137"/>
    <w:p w14:paraId="1ED01387" w14:textId="77777777" w:rsidR="00857F3F" w:rsidRDefault="00857F3F">
      <w:pPr>
        <w:spacing w:after="200"/>
        <w:rPr>
          <w:rFonts w:ascii="EB Garamond" w:hAnsi="EB Garamond"/>
          <w:b/>
          <w:color w:val="2B6B27"/>
          <w:sz w:val="30"/>
        </w:rPr>
      </w:pPr>
      <w:r>
        <w:rPr>
          <w:rFonts w:ascii="EB Garamond" w:hAnsi="EB Garamond"/>
          <w:b/>
          <w:color w:val="2B6B27"/>
          <w:sz w:val="30"/>
        </w:rPr>
        <w:br w:type="page"/>
      </w:r>
    </w:p>
    <w:p w14:paraId="5E352E9F" w14:textId="1259EC6F" w:rsidR="00917137" w:rsidRDefault="00000000">
      <w:pPr>
        <w:keepNext/>
        <w:pBdr>
          <w:bottom w:val="single" w:sz="8" w:space="4" w:color="2B6B27"/>
        </w:pBdr>
        <w:spacing w:before="160" w:after="100"/>
      </w:pPr>
      <w:r>
        <w:rPr>
          <w:rFonts w:ascii="EB Garamond" w:hAnsi="EB Garamond"/>
          <w:b/>
          <w:color w:val="2B6B27"/>
          <w:sz w:val="30"/>
        </w:rPr>
        <w:lastRenderedPageBreak/>
        <w:t xml:space="preserve">2. </w:t>
      </w:r>
      <w:r>
        <w:rPr>
          <w:rFonts w:ascii="EB Garamond" w:hAnsi="EB Garamond"/>
          <w:b/>
          <w:sz w:val="30"/>
        </w:rPr>
        <w:t>Compare Evidence for One Claim</w:t>
      </w:r>
    </w:p>
    <w:tbl>
      <w:tblPr>
        <w:tblW w:w="0" w:type="auto"/>
        <w:jc w:val="center"/>
        <w:tblBorders>
          <w:top w:val="single" w:sz="4" w:space="0" w:color="D7DED5"/>
          <w:left w:val="single" w:sz="4" w:space="0" w:color="D7DED5"/>
          <w:bottom w:val="single" w:sz="4" w:space="0" w:color="D7DED5"/>
          <w:right w:val="single" w:sz="4" w:space="0" w:color="D7DED5"/>
          <w:insideH w:val="single" w:sz="4" w:space="0" w:color="D7DED5"/>
          <w:insideV w:val="single" w:sz="4" w:space="0" w:color="D7DED5"/>
        </w:tblBorders>
        <w:tblLook w:val="04A0" w:firstRow="1" w:lastRow="0" w:firstColumn="1" w:lastColumn="0" w:noHBand="0" w:noVBand="1"/>
      </w:tblPr>
      <w:tblGrid>
        <w:gridCol w:w="2056"/>
        <w:gridCol w:w="2893"/>
        <w:gridCol w:w="1800"/>
        <w:gridCol w:w="1475"/>
        <w:gridCol w:w="2056"/>
      </w:tblGrid>
      <w:tr w:rsidR="00917137" w14:paraId="069A587C" w14:textId="77777777" w:rsidTr="00857F3F">
        <w:trPr>
          <w:cantSplit/>
          <w:tblHeader/>
          <w:jc w:val="center"/>
        </w:trPr>
        <w:tc>
          <w:tcPr>
            <w:tcW w:w="2056" w:type="dxa"/>
            <w:shd w:val="clear" w:color="auto" w:fill="2B6B27"/>
            <w:vAlign w:val="center"/>
          </w:tcPr>
          <w:p w14:paraId="394A7E0D" w14:textId="77777777" w:rsidR="00917137" w:rsidRDefault="00000000">
            <w:pPr>
              <w:spacing w:after="0"/>
            </w:pPr>
            <w:r>
              <w:rPr>
                <w:b/>
                <w:color w:val="FFFFFF"/>
                <w:sz w:val="16"/>
              </w:rPr>
              <w:t>Source</w:t>
            </w:r>
          </w:p>
        </w:tc>
        <w:tc>
          <w:tcPr>
            <w:tcW w:w="2893" w:type="dxa"/>
            <w:shd w:val="clear" w:color="auto" w:fill="2B6B27"/>
            <w:vAlign w:val="center"/>
          </w:tcPr>
          <w:p w14:paraId="79D28EF6" w14:textId="77777777" w:rsidR="00917137" w:rsidRDefault="00000000">
            <w:pPr>
              <w:spacing w:after="0"/>
            </w:pPr>
            <w:r>
              <w:rPr>
                <w:b/>
                <w:color w:val="FFFFFF"/>
                <w:sz w:val="16"/>
              </w:rPr>
              <w:t>Direction / Result</w:t>
            </w:r>
          </w:p>
        </w:tc>
        <w:tc>
          <w:tcPr>
            <w:tcW w:w="1800" w:type="dxa"/>
            <w:shd w:val="clear" w:color="auto" w:fill="2B6B27"/>
            <w:vAlign w:val="center"/>
          </w:tcPr>
          <w:p w14:paraId="1DC37632" w14:textId="77777777" w:rsidR="00917137" w:rsidRDefault="00000000">
            <w:pPr>
              <w:spacing w:after="0"/>
            </w:pPr>
            <w:r>
              <w:rPr>
                <w:b/>
                <w:color w:val="FFFFFF"/>
                <w:sz w:val="16"/>
              </w:rPr>
              <w:t>Methodological Contribution</w:t>
            </w:r>
          </w:p>
        </w:tc>
        <w:tc>
          <w:tcPr>
            <w:tcW w:w="1475" w:type="dxa"/>
            <w:shd w:val="clear" w:color="auto" w:fill="2B6B27"/>
            <w:vAlign w:val="center"/>
          </w:tcPr>
          <w:p w14:paraId="6E9A1555" w14:textId="77777777" w:rsidR="00917137" w:rsidRDefault="00000000">
            <w:pPr>
              <w:spacing w:after="0"/>
            </w:pPr>
            <w:r>
              <w:rPr>
                <w:b/>
                <w:color w:val="FFFFFF"/>
                <w:sz w:val="16"/>
              </w:rPr>
              <w:t>Population / Setting Fit</w:t>
            </w:r>
          </w:p>
        </w:tc>
        <w:tc>
          <w:tcPr>
            <w:tcW w:w="2056" w:type="dxa"/>
            <w:shd w:val="clear" w:color="auto" w:fill="2B6B27"/>
            <w:vAlign w:val="center"/>
          </w:tcPr>
          <w:p w14:paraId="28314E6C" w14:textId="77777777" w:rsidR="00917137" w:rsidRDefault="00000000">
            <w:pPr>
              <w:spacing w:after="0"/>
            </w:pPr>
            <w:r>
              <w:rPr>
                <w:b/>
                <w:color w:val="FFFFFF"/>
                <w:sz w:val="16"/>
              </w:rPr>
              <w:t>What It Adds to the Claim</w:t>
            </w:r>
          </w:p>
        </w:tc>
      </w:tr>
      <w:tr w:rsidR="00917137" w14:paraId="77E2B381" w14:textId="77777777" w:rsidTr="00857F3F">
        <w:trPr>
          <w:cantSplit/>
          <w:jc w:val="center"/>
        </w:trPr>
        <w:tc>
          <w:tcPr>
            <w:tcW w:w="2056" w:type="dxa"/>
            <w:shd w:val="clear" w:color="auto" w:fill="EEF5ED"/>
            <w:vAlign w:val="center"/>
          </w:tcPr>
          <w:p w14:paraId="6A4138F4" w14:textId="77777777" w:rsidR="00917137" w:rsidRDefault="00000000">
            <w:pPr>
              <w:spacing w:after="0"/>
            </w:pPr>
            <w:r>
              <w:rPr>
                <w:sz w:val="20"/>
              </w:rPr>
              <w:t>Tucker et al. (2017)</w:t>
            </w:r>
          </w:p>
        </w:tc>
        <w:tc>
          <w:tcPr>
            <w:tcW w:w="2893" w:type="dxa"/>
            <w:vAlign w:val="center"/>
          </w:tcPr>
          <w:p w14:paraId="6332D369" w14:textId="77777777" w:rsidR="00917137" w:rsidRDefault="00000000">
            <w:pPr>
              <w:spacing w:after="0"/>
            </w:pPr>
            <w:r>
              <w:rPr>
                <w:sz w:val="20"/>
              </w:rPr>
              <w:t>Overall clinic SBP difference −3.2 mm Hg at 12 months; self-monitoring alone showed little effect, while more intensive support produced larger reductions.</w:t>
            </w:r>
          </w:p>
        </w:tc>
        <w:tc>
          <w:tcPr>
            <w:tcW w:w="1800" w:type="dxa"/>
            <w:vAlign w:val="center"/>
          </w:tcPr>
          <w:p w14:paraId="2FE55D21" w14:textId="77777777" w:rsidR="00917137" w:rsidRDefault="00000000">
            <w:pPr>
              <w:spacing w:after="0"/>
            </w:pPr>
            <w:r>
              <w:rPr>
                <w:sz w:val="20"/>
              </w:rPr>
              <w:t>Systematic review + individual-patient-data meta-analysis; residual heterogeneity remains.</w:t>
            </w:r>
          </w:p>
        </w:tc>
        <w:tc>
          <w:tcPr>
            <w:tcW w:w="1475" w:type="dxa"/>
            <w:vAlign w:val="center"/>
          </w:tcPr>
          <w:p w14:paraId="0D3289BE" w14:textId="77777777" w:rsidR="00917137" w:rsidRDefault="00000000">
            <w:pPr>
              <w:spacing w:after="0"/>
            </w:pPr>
            <w:r>
              <w:rPr>
                <w:sz w:val="20"/>
              </w:rPr>
              <w:t>Broad adult hypertension evidence</w:t>
            </w:r>
          </w:p>
        </w:tc>
        <w:tc>
          <w:tcPr>
            <w:tcW w:w="2056" w:type="dxa"/>
            <w:vAlign w:val="center"/>
          </w:tcPr>
          <w:p w14:paraId="66DAEDD3" w14:textId="77777777" w:rsidR="00917137" w:rsidRDefault="00000000">
            <w:pPr>
              <w:spacing w:after="0"/>
            </w:pPr>
            <w:r>
              <w:rPr>
                <w:sz w:val="20"/>
              </w:rPr>
              <w:t>Supports modest overall benefit and importance of co-intervention intensity.</w:t>
            </w:r>
          </w:p>
        </w:tc>
      </w:tr>
      <w:tr w:rsidR="00917137" w14:paraId="3C6C63AD" w14:textId="77777777" w:rsidTr="00857F3F">
        <w:trPr>
          <w:cantSplit/>
          <w:jc w:val="center"/>
        </w:trPr>
        <w:tc>
          <w:tcPr>
            <w:tcW w:w="2056" w:type="dxa"/>
            <w:shd w:val="clear" w:color="auto" w:fill="EEF5ED"/>
            <w:vAlign w:val="center"/>
          </w:tcPr>
          <w:p w14:paraId="4F0D65BB" w14:textId="77777777" w:rsidR="00917137" w:rsidRDefault="00000000">
            <w:pPr>
              <w:spacing w:after="0"/>
            </w:pPr>
            <w:r>
              <w:rPr>
                <w:sz w:val="20"/>
              </w:rPr>
              <w:t>TASMINH4 (2018)</w:t>
            </w:r>
          </w:p>
        </w:tc>
        <w:tc>
          <w:tcPr>
            <w:tcW w:w="2893" w:type="dxa"/>
            <w:vAlign w:val="center"/>
          </w:tcPr>
          <w:p w14:paraId="5004992A" w14:textId="77777777" w:rsidR="00917137" w:rsidRDefault="00000000">
            <w:pPr>
              <w:spacing w:after="0"/>
            </w:pPr>
            <w:r>
              <w:rPr>
                <w:sz w:val="20"/>
              </w:rPr>
              <w:t>Self-monitoring, with or without telemonitoring, improved BP compared with usual care when readings informed medication titration.</w:t>
            </w:r>
          </w:p>
        </w:tc>
        <w:tc>
          <w:tcPr>
            <w:tcW w:w="1800" w:type="dxa"/>
            <w:vAlign w:val="center"/>
          </w:tcPr>
          <w:p w14:paraId="5B74BF1E" w14:textId="77777777" w:rsidR="00917137" w:rsidRDefault="00000000">
            <w:pPr>
              <w:spacing w:after="0"/>
            </w:pPr>
            <w:r>
              <w:rPr>
                <w:sz w:val="20"/>
              </w:rPr>
              <w:t>Large primary-care randomized trial.</w:t>
            </w:r>
          </w:p>
        </w:tc>
        <w:tc>
          <w:tcPr>
            <w:tcW w:w="1475" w:type="dxa"/>
            <w:vAlign w:val="center"/>
          </w:tcPr>
          <w:p w14:paraId="28D4BA17" w14:textId="77777777" w:rsidR="00917137" w:rsidRDefault="00000000">
            <w:pPr>
              <w:spacing w:after="0"/>
            </w:pPr>
            <w:r>
              <w:rPr>
                <w:sz w:val="20"/>
              </w:rPr>
              <w:t>UK primary care</w:t>
            </w:r>
          </w:p>
        </w:tc>
        <w:tc>
          <w:tcPr>
            <w:tcW w:w="2056" w:type="dxa"/>
            <w:vAlign w:val="center"/>
          </w:tcPr>
          <w:p w14:paraId="03F3D62E" w14:textId="77777777" w:rsidR="00917137" w:rsidRDefault="00000000">
            <w:pPr>
              <w:spacing w:after="0"/>
            </w:pPr>
            <w:r>
              <w:rPr>
                <w:sz w:val="20"/>
              </w:rPr>
              <w:t>Shows home readings can be integrated into treatment titration.</w:t>
            </w:r>
          </w:p>
        </w:tc>
      </w:tr>
      <w:tr w:rsidR="00917137" w14:paraId="29F58EBD" w14:textId="77777777" w:rsidTr="00857F3F">
        <w:trPr>
          <w:cantSplit/>
          <w:jc w:val="center"/>
        </w:trPr>
        <w:tc>
          <w:tcPr>
            <w:tcW w:w="2056" w:type="dxa"/>
            <w:shd w:val="clear" w:color="auto" w:fill="EEF5ED"/>
            <w:vAlign w:val="center"/>
          </w:tcPr>
          <w:p w14:paraId="2538A9D5" w14:textId="77777777" w:rsidR="00917137" w:rsidRDefault="00000000">
            <w:pPr>
              <w:spacing w:after="0"/>
            </w:pPr>
            <w:r>
              <w:rPr>
                <w:sz w:val="20"/>
              </w:rPr>
              <w:t>HOME BP (2021)</w:t>
            </w:r>
          </w:p>
        </w:tc>
        <w:tc>
          <w:tcPr>
            <w:tcW w:w="2893" w:type="dxa"/>
            <w:vAlign w:val="center"/>
          </w:tcPr>
          <w:p w14:paraId="09D81CE2" w14:textId="77777777" w:rsidR="00917137" w:rsidRDefault="00000000">
            <w:pPr>
              <w:spacing w:after="0"/>
            </w:pPr>
            <w:r>
              <w:rPr>
                <w:sz w:val="20"/>
              </w:rPr>
              <w:t>At one year, adjusted SBP difference was −3.4 mm Hg for digital self-monitoring/self-management versus usual care.</w:t>
            </w:r>
          </w:p>
        </w:tc>
        <w:tc>
          <w:tcPr>
            <w:tcW w:w="1800" w:type="dxa"/>
            <w:vAlign w:val="center"/>
          </w:tcPr>
          <w:p w14:paraId="42D8CF09" w14:textId="77777777" w:rsidR="00917137" w:rsidRDefault="00000000">
            <w:pPr>
              <w:spacing w:after="0"/>
            </w:pPr>
            <w:r>
              <w:rPr>
                <w:sz w:val="20"/>
              </w:rPr>
              <w:t>Randomized trial with independent primary-outcome ascertainment.</w:t>
            </w:r>
          </w:p>
        </w:tc>
        <w:tc>
          <w:tcPr>
            <w:tcW w:w="1475" w:type="dxa"/>
            <w:vAlign w:val="center"/>
          </w:tcPr>
          <w:p w14:paraId="128B6A4F" w14:textId="77777777" w:rsidR="00917137" w:rsidRDefault="00000000">
            <w:pPr>
              <w:spacing w:after="0"/>
            </w:pPr>
            <w:r>
              <w:rPr>
                <w:sz w:val="20"/>
              </w:rPr>
              <w:t>UK primary care; internet access required</w:t>
            </w:r>
          </w:p>
        </w:tc>
        <w:tc>
          <w:tcPr>
            <w:tcW w:w="2056" w:type="dxa"/>
            <w:vAlign w:val="center"/>
          </w:tcPr>
          <w:p w14:paraId="097A0A9B" w14:textId="77777777" w:rsidR="00917137" w:rsidRDefault="00000000">
            <w:pPr>
              <w:spacing w:after="0"/>
            </w:pPr>
            <w:r>
              <w:rPr>
                <w:sz w:val="20"/>
              </w:rPr>
              <w:t>Direct evidence for a structured supported digital model and highlights digital-access considerations.</w:t>
            </w:r>
          </w:p>
        </w:tc>
      </w:tr>
    </w:tbl>
    <w:p w14:paraId="3EE70C39" w14:textId="3AF22B9C" w:rsidR="00917137" w:rsidRDefault="00917137"/>
    <w:p w14:paraId="40CCAFB0" w14:textId="77777777" w:rsidR="00917137" w:rsidRDefault="00000000">
      <w:pPr>
        <w:keepNext/>
        <w:pBdr>
          <w:bottom w:val="single" w:sz="8" w:space="4" w:color="2B6B27"/>
        </w:pBdr>
        <w:spacing w:before="160" w:after="100"/>
      </w:pPr>
      <w:r>
        <w:rPr>
          <w:rFonts w:ascii="EB Garamond" w:hAnsi="EB Garamond"/>
          <w:b/>
          <w:color w:val="2B6B27"/>
          <w:sz w:val="30"/>
        </w:rPr>
        <w:t xml:space="preserve">3. </w:t>
      </w:r>
      <w:r>
        <w:rPr>
          <w:rFonts w:ascii="EB Garamond" w:hAnsi="EB Garamond"/>
          <w:b/>
          <w:sz w:val="30"/>
        </w:rPr>
        <w:t>Agreement, Differences &amp; Explanations</w:t>
      </w:r>
    </w:p>
    <w:tbl>
      <w:tblPr>
        <w:tblW w:w="0" w:type="auto"/>
        <w:jc w:val="center"/>
        <w:tblBorders>
          <w:top w:val="single" w:sz="4" w:space="0" w:color="D7DED5"/>
          <w:left w:val="single" w:sz="4" w:space="0" w:color="D7DED5"/>
          <w:bottom w:val="single" w:sz="4" w:space="0" w:color="D7DED5"/>
          <w:right w:val="single" w:sz="4" w:space="0" w:color="D7DED5"/>
          <w:insideH w:val="single" w:sz="4" w:space="0" w:color="D7DED5"/>
          <w:insideV w:val="single" w:sz="4" w:space="0" w:color="D7DED5"/>
        </w:tblBorders>
        <w:tblLook w:val="04A0" w:firstRow="1" w:lastRow="0" w:firstColumn="1" w:lastColumn="0" w:noHBand="0" w:noVBand="1"/>
      </w:tblPr>
      <w:tblGrid>
        <w:gridCol w:w="2520"/>
        <w:gridCol w:w="7762"/>
      </w:tblGrid>
      <w:tr w:rsidR="00917137" w14:paraId="6DEBE0B6" w14:textId="77777777" w:rsidTr="00857F3F">
        <w:trPr>
          <w:cantSplit/>
          <w:jc w:val="center"/>
        </w:trPr>
        <w:tc>
          <w:tcPr>
            <w:tcW w:w="2520" w:type="dxa"/>
            <w:shd w:val="clear" w:color="auto" w:fill="EEF5ED"/>
            <w:vAlign w:val="center"/>
          </w:tcPr>
          <w:p w14:paraId="077CC9A2" w14:textId="77777777" w:rsidR="00917137" w:rsidRDefault="00000000">
            <w:pPr>
              <w:spacing w:after="0"/>
            </w:pPr>
            <w:r>
              <w:rPr>
                <w:b/>
                <w:color w:val="2B6B27"/>
                <w:sz w:val="18"/>
              </w:rPr>
              <w:t>Where evidence converges</w:t>
            </w:r>
          </w:p>
        </w:tc>
        <w:tc>
          <w:tcPr>
            <w:tcW w:w="7762" w:type="dxa"/>
            <w:vAlign w:val="center"/>
          </w:tcPr>
          <w:p w14:paraId="59500565" w14:textId="77777777" w:rsidR="00917137" w:rsidRDefault="00000000">
            <w:pPr>
              <w:spacing w:after="0"/>
            </w:pPr>
            <w:r>
              <w:rPr>
                <w:sz w:val="20"/>
              </w:rPr>
              <w:t>Supported home BP monitoring generally improves systolic BP compared with usual care.</w:t>
            </w:r>
          </w:p>
        </w:tc>
      </w:tr>
      <w:tr w:rsidR="00917137" w14:paraId="47C872E8" w14:textId="77777777" w:rsidTr="00857F3F">
        <w:trPr>
          <w:cantSplit/>
          <w:jc w:val="center"/>
        </w:trPr>
        <w:tc>
          <w:tcPr>
            <w:tcW w:w="2520" w:type="dxa"/>
            <w:shd w:val="clear" w:color="auto" w:fill="EEF5ED"/>
            <w:vAlign w:val="center"/>
          </w:tcPr>
          <w:p w14:paraId="0D188AF9" w14:textId="77777777" w:rsidR="00917137" w:rsidRDefault="00000000">
            <w:pPr>
              <w:spacing w:after="0"/>
            </w:pPr>
            <w:r>
              <w:rPr>
                <w:b/>
                <w:color w:val="2B6B27"/>
                <w:sz w:val="18"/>
              </w:rPr>
              <w:t>Where evidence differs</w:t>
            </w:r>
          </w:p>
        </w:tc>
        <w:tc>
          <w:tcPr>
            <w:tcW w:w="7762" w:type="dxa"/>
            <w:vAlign w:val="center"/>
          </w:tcPr>
          <w:p w14:paraId="019838D2" w14:textId="77777777" w:rsidR="00917137" w:rsidRDefault="00000000">
            <w:pPr>
              <w:spacing w:after="0"/>
            </w:pPr>
            <w:r>
              <w:rPr>
                <w:sz w:val="20"/>
              </w:rPr>
              <w:t>Magnitude varies with support intensity, medication-management process, technology, and follow-up.</w:t>
            </w:r>
          </w:p>
        </w:tc>
      </w:tr>
      <w:tr w:rsidR="00917137" w14:paraId="4A3A3D18" w14:textId="77777777" w:rsidTr="00857F3F">
        <w:trPr>
          <w:cantSplit/>
          <w:jc w:val="center"/>
        </w:trPr>
        <w:tc>
          <w:tcPr>
            <w:tcW w:w="2520" w:type="dxa"/>
            <w:shd w:val="clear" w:color="auto" w:fill="EEF5ED"/>
            <w:vAlign w:val="center"/>
          </w:tcPr>
          <w:p w14:paraId="6FED04F9" w14:textId="77777777" w:rsidR="00917137" w:rsidRDefault="00000000">
            <w:pPr>
              <w:spacing w:after="0"/>
            </w:pPr>
            <w:r>
              <w:rPr>
                <w:b/>
                <w:color w:val="2B6B27"/>
                <w:sz w:val="18"/>
              </w:rPr>
              <w:t>Plausible explanation</w:t>
            </w:r>
          </w:p>
        </w:tc>
        <w:tc>
          <w:tcPr>
            <w:tcW w:w="7762" w:type="dxa"/>
            <w:vAlign w:val="center"/>
          </w:tcPr>
          <w:p w14:paraId="72E4AFD4" w14:textId="77777777" w:rsidR="00917137" w:rsidRDefault="00000000">
            <w:pPr>
              <w:spacing w:after="0"/>
            </w:pPr>
            <w:r>
              <w:rPr>
                <w:sz w:val="20"/>
              </w:rPr>
              <w:t>Home measurements may have less effect when readings are not linked to timely feedback or treatment action.</w:t>
            </w:r>
          </w:p>
        </w:tc>
      </w:tr>
      <w:tr w:rsidR="00917137" w14:paraId="78C1B52E" w14:textId="77777777" w:rsidTr="00857F3F">
        <w:trPr>
          <w:cantSplit/>
          <w:jc w:val="center"/>
        </w:trPr>
        <w:tc>
          <w:tcPr>
            <w:tcW w:w="2520" w:type="dxa"/>
            <w:shd w:val="clear" w:color="auto" w:fill="EEF5ED"/>
            <w:vAlign w:val="center"/>
          </w:tcPr>
          <w:p w14:paraId="37469CE8" w14:textId="77777777" w:rsidR="00917137" w:rsidRDefault="00000000">
            <w:pPr>
              <w:spacing w:after="0"/>
            </w:pPr>
            <w:r>
              <w:rPr>
                <w:b/>
                <w:color w:val="2B6B27"/>
                <w:sz w:val="18"/>
              </w:rPr>
              <w:t>Evidence gap / limitation</w:t>
            </w:r>
          </w:p>
        </w:tc>
        <w:tc>
          <w:tcPr>
            <w:tcW w:w="7762" w:type="dxa"/>
            <w:vAlign w:val="center"/>
          </w:tcPr>
          <w:p w14:paraId="2AFE4C4B" w14:textId="77777777" w:rsidR="00917137" w:rsidRDefault="00000000">
            <w:pPr>
              <w:spacing w:after="0"/>
            </w:pPr>
            <w:r>
              <w:rPr>
                <w:sz w:val="20"/>
              </w:rPr>
              <w:t>Access and implementation burden require local evaluation; findings should not be assumed to transfer unchanged to every setting.</w:t>
            </w:r>
          </w:p>
        </w:tc>
      </w:tr>
    </w:tbl>
    <w:p w14:paraId="3A50A10B" w14:textId="77777777" w:rsidR="00917137" w:rsidRDefault="00917137"/>
    <w:p w14:paraId="423EFC3C" w14:textId="77777777" w:rsidR="00917137" w:rsidRDefault="00000000">
      <w:pPr>
        <w:keepNext/>
        <w:pBdr>
          <w:bottom w:val="single" w:sz="8" w:space="4" w:color="2B6B27"/>
        </w:pBdr>
        <w:spacing w:before="160" w:after="100"/>
      </w:pPr>
      <w:r>
        <w:rPr>
          <w:rFonts w:ascii="EB Garamond" w:hAnsi="EB Garamond"/>
          <w:b/>
          <w:color w:val="2B6B27"/>
          <w:sz w:val="30"/>
        </w:rPr>
        <w:t xml:space="preserve">4. </w:t>
      </w:r>
      <w:r>
        <w:rPr>
          <w:rFonts w:ascii="EB Garamond" w:hAnsi="EB Garamond"/>
          <w:b/>
          <w:sz w:val="30"/>
        </w:rPr>
        <w:t>Paragraph Builder</w:t>
      </w:r>
    </w:p>
    <w:tbl>
      <w:tblPr>
        <w:tblW w:w="0" w:type="auto"/>
        <w:jc w:val="center"/>
        <w:tblBorders>
          <w:top w:val="single" w:sz="4" w:space="0" w:color="D7DED5"/>
          <w:left w:val="single" w:sz="4" w:space="0" w:color="D7DED5"/>
          <w:bottom w:val="single" w:sz="4" w:space="0" w:color="D7DED5"/>
          <w:right w:val="single" w:sz="4" w:space="0" w:color="D7DED5"/>
          <w:insideH w:val="single" w:sz="4" w:space="0" w:color="D7DED5"/>
          <w:insideV w:val="single" w:sz="4" w:space="0" w:color="D7DED5"/>
        </w:tblBorders>
        <w:tblLook w:val="04A0" w:firstRow="1" w:lastRow="0" w:firstColumn="1" w:lastColumn="0" w:noHBand="0" w:noVBand="1"/>
      </w:tblPr>
      <w:tblGrid>
        <w:gridCol w:w="2070"/>
        <w:gridCol w:w="8212"/>
      </w:tblGrid>
      <w:tr w:rsidR="00917137" w14:paraId="28EEDA29" w14:textId="77777777" w:rsidTr="00857F3F">
        <w:trPr>
          <w:cantSplit/>
          <w:tblHeader/>
          <w:jc w:val="center"/>
        </w:trPr>
        <w:tc>
          <w:tcPr>
            <w:tcW w:w="2070" w:type="dxa"/>
            <w:shd w:val="clear" w:color="auto" w:fill="2B6B27"/>
            <w:vAlign w:val="center"/>
          </w:tcPr>
          <w:p w14:paraId="055F7074" w14:textId="77777777" w:rsidR="00917137" w:rsidRDefault="00000000">
            <w:pPr>
              <w:spacing w:after="0"/>
            </w:pPr>
            <w:r>
              <w:rPr>
                <w:b/>
                <w:color w:val="FFFFFF"/>
                <w:sz w:val="16"/>
              </w:rPr>
              <w:t>Sentence Function</w:t>
            </w:r>
          </w:p>
        </w:tc>
        <w:tc>
          <w:tcPr>
            <w:tcW w:w="8212" w:type="dxa"/>
            <w:shd w:val="clear" w:color="auto" w:fill="2B6B27"/>
            <w:vAlign w:val="center"/>
          </w:tcPr>
          <w:p w14:paraId="3969BFC6" w14:textId="77777777" w:rsidR="00917137" w:rsidRDefault="00000000">
            <w:pPr>
              <w:spacing w:after="0"/>
            </w:pPr>
            <w:r>
              <w:rPr>
                <w:b/>
                <w:color w:val="FFFFFF"/>
                <w:sz w:val="16"/>
              </w:rPr>
              <w:t>Planning Notes</w:t>
            </w:r>
          </w:p>
        </w:tc>
      </w:tr>
      <w:tr w:rsidR="00917137" w14:paraId="5BEF980F" w14:textId="77777777" w:rsidTr="00857F3F">
        <w:trPr>
          <w:cantSplit/>
          <w:jc w:val="center"/>
        </w:trPr>
        <w:tc>
          <w:tcPr>
            <w:tcW w:w="2070" w:type="dxa"/>
            <w:vAlign w:val="center"/>
          </w:tcPr>
          <w:p w14:paraId="6E341874" w14:textId="77777777" w:rsidR="00917137" w:rsidRDefault="00000000">
            <w:pPr>
              <w:spacing w:after="0"/>
            </w:pPr>
            <w:r>
              <w:rPr>
                <w:sz w:val="20"/>
              </w:rPr>
              <w:t>Lead synthesis claim</w:t>
            </w:r>
          </w:p>
        </w:tc>
        <w:tc>
          <w:tcPr>
            <w:tcW w:w="8212" w:type="dxa"/>
            <w:vAlign w:val="center"/>
          </w:tcPr>
          <w:p w14:paraId="5F9B17DE" w14:textId="77777777" w:rsidR="00917137" w:rsidRDefault="00000000">
            <w:pPr>
              <w:spacing w:after="0"/>
            </w:pPr>
            <w:r>
              <w:rPr>
                <w:sz w:val="20"/>
              </w:rPr>
              <w:t>Across randomized trials and meta-analytic evidence, supported home BP monitoring produces modest reductions in systolic BP compared with usual care.</w:t>
            </w:r>
          </w:p>
        </w:tc>
      </w:tr>
      <w:tr w:rsidR="00917137" w14:paraId="786B15C4" w14:textId="77777777" w:rsidTr="00857F3F">
        <w:trPr>
          <w:cantSplit/>
          <w:jc w:val="center"/>
        </w:trPr>
        <w:tc>
          <w:tcPr>
            <w:tcW w:w="2070" w:type="dxa"/>
            <w:vAlign w:val="center"/>
          </w:tcPr>
          <w:p w14:paraId="11A94D52" w14:textId="77777777" w:rsidR="00917137" w:rsidRDefault="00000000">
            <w:pPr>
              <w:spacing w:after="0"/>
            </w:pPr>
            <w:r>
              <w:rPr>
                <w:sz w:val="20"/>
              </w:rPr>
              <w:t>Converging evidence</w:t>
            </w:r>
          </w:p>
        </w:tc>
        <w:tc>
          <w:tcPr>
            <w:tcW w:w="8212" w:type="dxa"/>
            <w:vAlign w:val="center"/>
          </w:tcPr>
          <w:p w14:paraId="2707FC69" w14:textId="77777777" w:rsidR="00917137" w:rsidRDefault="00000000">
            <w:pPr>
              <w:spacing w:after="0"/>
            </w:pPr>
            <w:r>
              <w:rPr>
                <w:sz w:val="20"/>
              </w:rPr>
              <w:t>Benefits appear most consistent when readings are linked to structured clinical support or medication adjustment.</w:t>
            </w:r>
          </w:p>
        </w:tc>
      </w:tr>
      <w:tr w:rsidR="00917137" w14:paraId="1BF19458" w14:textId="77777777" w:rsidTr="00857F3F">
        <w:trPr>
          <w:cantSplit/>
          <w:jc w:val="center"/>
        </w:trPr>
        <w:tc>
          <w:tcPr>
            <w:tcW w:w="2070" w:type="dxa"/>
            <w:vAlign w:val="center"/>
          </w:tcPr>
          <w:p w14:paraId="3F2F074D" w14:textId="77777777" w:rsidR="00917137" w:rsidRDefault="00000000">
            <w:pPr>
              <w:spacing w:after="0"/>
            </w:pPr>
            <w:r>
              <w:rPr>
                <w:sz w:val="20"/>
              </w:rPr>
              <w:t>Explain variation</w:t>
            </w:r>
          </w:p>
        </w:tc>
        <w:tc>
          <w:tcPr>
            <w:tcW w:w="8212" w:type="dxa"/>
            <w:vAlign w:val="center"/>
          </w:tcPr>
          <w:p w14:paraId="0A37DBA2" w14:textId="77777777" w:rsidR="00917137" w:rsidRDefault="00000000">
            <w:pPr>
              <w:spacing w:after="0"/>
            </w:pPr>
            <w:r>
              <w:rPr>
                <w:sz w:val="20"/>
              </w:rPr>
              <w:t>Effect magnitude varies across models, suggesting intervention intensity and response to readings influence effectiveness.</w:t>
            </w:r>
          </w:p>
        </w:tc>
      </w:tr>
      <w:tr w:rsidR="00917137" w14:paraId="1A3C980D" w14:textId="77777777" w:rsidTr="00857F3F">
        <w:trPr>
          <w:cantSplit/>
          <w:jc w:val="center"/>
        </w:trPr>
        <w:tc>
          <w:tcPr>
            <w:tcW w:w="2070" w:type="dxa"/>
            <w:vAlign w:val="center"/>
          </w:tcPr>
          <w:p w14:paraId="1DD4BA2E" w14:textId="77777777" w:rsidR="00917137" w:rsidRDefault="00000000">
            <w:pPr>
              <w:spacing w:after="0"/>
            </w:pPr>
            <w:r>
              <w:rPr>
                <w:sz w:val="20"/>
              </w:rPr>
              <w:t>Quality / applicability</w:t>
            </w:r>
          </w:p>
        </w:tc>
        <w:tc>
          <w:tcPr>
            <w:tcW w:w="8212" w:type="dxa"/>
            <w:vAlign w:val="center"/>
          </w:tcPr>
          <w:p w14:paraId="04F731C2" w14:textId="77777777" w:rsidR="00917137" w:rsidRDefault="00000000">
            <w:pPr>
              <w:spacing w:after="0"/>
            </w:pPr>
            <w:r>
              <w:rPr>
                <w:sz w:val="20"/>
              </w:rPr>
              <w:t>Randomized evidence supports the direction of effect, while digital access and intervention design differ across settings.</w:t>
            </w:r>
          </w:p>
        </w:tc>
      </w:tr>
      <w:tr w:rsidR="00917137" w14:paraId="1B8C0828" w14:textId="77777777" w:rsidTr="00857F3F">
        <w:trPr>
          <w:cantSplit/>
          <w:jc w:val="center"/>
        </w:trPr>
        <w:tc>
          <w:tcPr>
            <w:tcW w:w="2070" w:type="dxa"/>
            <w:vAlign w:val="center"/>
          </w:tcPr>
          <w:p w14:paraId="21A1E385" w14:textId="77777777" w:rsidR="00917137" w:rsidRDefault="00000000">
            <w:pPr>
              <w:spacing w:after="0"/>
            </w:pPr>
            <w:r>
              <w:rPr>
                <w:sz w:val="20"/>
              </w:rPr>
              <w:t>Practice implication</w:t>
            </w:r>
          </w:p>
        </w:tc>
        <w:tc>
          <w:tcPr>
            <w:tcW w:w="8212" w:type="dxa"/>
            <w:vAlign w:val="center"/>
          </w:tcPr>
          <w:p w14:paraId="5AA23304" w14:textId="77777777" w:rsidR="00917137" w:rsidRDefault="00000000">
            <w:pPr>
              <w:spacing w:after="0"/>
            </w:pPr>
            <w:r>
              <w:rPr>
                <w:sz w:val="20"/>
              </w:rPr>
              <w:t>A local implementation project can reasonably test a structured monitoring-and-review workflow while also measuring reach, fidelity, workload, and access.</w:t>
            </w:r>
          </w:p>
        </w:tc>
      </w:tr>
    </w:tbl>
    <w:p w14:paraId="345CF689" w14:textId="232660BD" w:rsidR="00917137" w:rsidRDefault="00917137"/>
    <w:p w14:paraId="6D6AAC93" w14:textId="77777777" w:rsidR="00917137" w:rsidRDefault="00000000">
      <w:pPr>
        <w:keepNext/>
        <w:pBdr>
          <w:bottom w:val="single" w:sz="8" w:space="4" w:color="2B6B27"/>
        </w:pBdr>
        <w:spacing w:before="160" w:after="100"/>
      </w:pPr>
      <w:r>
        <w:rPr>
          <w:rFonts w:ascii="EB Garamond" w:hAnsi="EB Garamond"/>
          <w:b/>
          <w:color w:val="2B6B27"/>
          <w:sz w:val="30"/>
        </w:rPr>
        <w:t xml:space="preserve">5. </w:t>
      </w:r>
      <w:r>
        <w:rPr>
          <w:rFonts w:ascii="EB Garamond" w:hAnsi="EB Garamond"/>
          <w:b/>
          <w:sz w:val="30"/>
        </w:rPr>
        <w:t>Draft Synthesis Paragraph</w:t>
      </w:r>
    </w:p>
    <w:p w14:paraId="306B7632" w14:textId="77777777" w:rsidR="00917137" w:rsidRDefault="00000000">
      <w:pPr>
        <w:pStyle w:val="ExampleText"/>
      </w:pPr>
      <w:r>
        <w:t>Across randomized trials and meta-analytic evidence, supported home blood-pressure monitoring is associated with modest improvement in systolic blood pressure compared with usual care. Evidence is most consistent when home measurements are paired with structured clinical feedback or treatment adjustment, suggesting that the response to readings is a meaningful component of the intervention. Effect magnitude varies across studies, reflecting differences in support intensity, medication-management processes, technology requirements, follow-up, and patient populations. Randomized designs and synthesis-level evidence increase confidence in the direction of effect, while variation in access and implementation burden limits assumptions about transferability to every primary-care setting. For a local practice-change project, the evidence supports testing a structured monitoring-and-review workflow while evaluating reach, fidelity, workload, and patient access alongside blood-pressure outcomes.</w:t>
      </w:r>
    </w:p>
    <w:p w14:paraId="25A21A22" w14:textId="77777777" w:rsidR="00917137" w:rsidRDefault="00000000">
      <w:pPr>
        <w:keepNext/>
        <w:pBdr>
          <w:bottom w:val="single" w:sz="8" w:space="4" w:color="2B6B27"/>
        </w:pBdr>
        <w:spacing w:before="160" w:after="100"/>
      </w:pPr>
      <w:r>
        <w:rPr>
          <w:rFonts w:ascii="EB Garamond" w:hAnsi="EB Garamond"/>
          <w:b/>
          <w:color w:val="2B6B27"/>
          <w:sz w:val="30"/>
        </w:rPr>
        <w:t xml:space="preserve">6. </w:t>
      </w:r>
      <w:r>
        <w:rPr>
          <w:rFonts w:ascii="EB Garamond" w:hAnsi="EB Garamond"/>
          <w:b/>
          <w:sz w:val="30"/>
        </w:rPr>
        <w:t>Synthesis Quality Check</w:t>
      </w:r>
    </w:p>
    <w:p w14:paraId="56D14625" w14:textId="77777777" w:rsidR="00917137" w:rsidRDefault="00000000">
      <w:pPr>
        <w:spacing w:after="20"/>
        <w:ind w:left="173"/>
      </w:pPr>
      <w:r>
        <w:rPr>
          <w:sz w:val="20"/>
        </w:rPr>
        <w:t>☒ Paragraph is organized around a claim, outcome, or theme rather than article order.</w:t>
      </w:r>
    </w:p>
    <w:p w14:paraId="357CD155" w14:textId="77777777" w:rsidR="00917137" w:rsidRDefault="00000000">
      <w:pPr>
        <w:spacing w:after="20"/>
        <w:ind w:left="173"/>
      </w:pPr>
      <w:r>
        <w:rPr>
          <w:sz w:val="20"/>
        </w:rPr>
        <w:t>☒ Multiple sources support the central conclusion when available.</w:t>
      </w:r>
    </w:p>
    <w:p w14:paraId="10778632" w14:textId="77777777" w:rsidR="00917137" w:rsidRDefault="00000000">
      <w:pPr>
        <w:spacing w:after="20"/>
        <w:ind w:left="173"/>
      </w:pPr>
      <w:r>
        <w:rPr>
          <w:sz w:val="20"/>
        </w:rPr>
        <w:t>☒ Direction and magnitude are represented accurately.</w:t>
      </w:r>
    </w:p>
    <w:p w14:paraId="5463D73F" w14:textId="77777777" w:rsidR="00917137" w:rsidRDefault="00000000">
      <w:pPr>
        <w:spacing w:after="20"/>
        <w:ind w:left="173"/>
      </w:pPr>
      <w:r>
        <w:rPr>
          <w:sz w:val="20"/>
        </w:rPr>
        <w:t>☒ Differences and uncertainty are acknowledged.</w:t>
      </w:r>
    </w:p>
    <w:p w14:paraId="154576BD" w14:textId="77777777" w:rsidR="00917137" w:rsidRDefault="00000000">
      <w:pPr>
        <w:spacing w:after="20"/>
        <w:ind w:left="173"/>
      </w:pPr>
      <w:r>
        <w:rPr>
          <w:sz w:val="20"/>
        </w:rPr>
        <w:t>☒ Methodological quality influences evidentiary weight.</w:t>
      </w:r>
    </w:p>
    <w:p w14:paraId="24E8E4E3" w14:textId="77777777" w:rsidR="00917137" w:rsidRDefault="00000000">
      <w:pPr>
        <w:spacing w:after="20"/>
        <w:ind w:left="173"/>
      </w:pPr>
      <w:r>
        <w:rPr>
          <w:sz w:val="20"/>
        </w:rPr>
        <w:t>☒ Applicability is considered separately from methodological quality.</w:t>
      </w:r>
    </w:p>
    <w:p w14:paraId="15A1A319" w14:textId="77777777" w:rsidR="00917137" w:rsidRDefault="00000000">
      <w:pPr>
        <w:spacing w:after="20"/>
        <w:ind w:left="173"/>
      </w:pPr>
      <w:r>
        <w:rPr>
          <w:sz w:val="20"/>
        </w:rPr>
        <w:t>☒ Practice implications do not exceed what the evidence supports.</w:t>
      </w:r>
    </w:p>
    <w:p w14:paraId="74FAA642" w14:textId="77777777" w:rsidR="00917137" w:rsidRDefault="00917137"/>
    <w:p w14:paraId="4EC92A50" w14:textId="77777777" w:rsidR="00917137" w:rsidRDefault="00000000">
      <w:r>
        <w:br w:type="page"/>
      </w:r>
    </w:p>
    <w:p w14:paraId="16690E1D" w14:textId="77777777" w:rsidR="00917137" w:rsidRDefault="00000000">
      <w:pPr>
        <w:keepNext/>
        <w:pBdr>
          <w:bottom w:val="single" w:sz="8" w:space="4" w:color="2B6B27"/>
        </w:pBdr>
      </w:pPr>
      <w:r>
        <w:rPr>
          <w:rFonts w:ascii="EB Garamond" w:hAnsi="EB Garamond"/>
          <w:b/>
          <w:sz w:val="31"/>
        </w:rPr>
        <w:lastRenderedPageBreak/>
        <w:t>References</w:t>
      </w:r>
    </w:p>
    <w:p w14:paraId="574F3A36" w14:textId="77777777" w:rsidR="00917137" w:rsidRDefault="00000000">
      <w:pPr>
        <w:ind w:left="432" w:hanging="432"/>
      </w:pPr>
      <w:r>
        <w:rPr>
          <w:sz w:val="18"/>
        </w:rPr>
        <w:t xml:space="preserve">Aromataris, E., Lockwood, C., Porritt, K., Pilla, B., &amp; Jordan, Z. (Eds.). (2024). </w:t>
      </w:r>
      <w:r>
        <w:rPr>
          <w:i/>
          <w:sz w:val="18"/>
        </w:rPr>
        <w:t>JBI manual for evidence synthesis.</w:t>
      </w:r>
      <w:r>
        <w:rPr>
          <w:sz w:val="18"/>
        </w:rPr>
        <w:t xml:space="preserve"> JBI. https://jbi-global-wiki.refined.site/space/MANUAL</w:t>
      </w:r>
    </w:p>
    <w:p w14:paraId="157914FE" w14:textId="77777777" w:rsidR="00917137" w:rsidRDefault="00000000">
      <w:pPr>
        <w:ind w:left="432" w:hanging="432"/>
      </w:pPr>
      <w:r>
        <w:rPr>
          <w:sz w:val="18"/>
        </w:rPr>
        <w:t xml:space="preserve">Tucker, K. L., Sheppard, J. P., Stevens, R., Bosworth, H. B., Bove, A., Bray, E. P., Earle, K., George, J., Godwin, M., Green, B. B., Hebert, P., Hobbs, F. D. R., Kantola, I., Kerry, S. M., Leiva, A., Magid, D. J., Mant, J., Margolis, K. L., McKinstry, B., ... McManus, R. J. (2017). Self-monitoring of blood pressure in hypertension: A systematic review and individual patient data meta-analysis. </w:t>
      </w:r>
      <w:r>
        <w:rPr>
          <w:i/>
          <w:sz w:val="18"/>
        </w:rPr>
        <w:t>PLOS Medicine, 14</w:t>
      </w:r>
      <w:r>
        <w:rPr>
          <w:sz w:val="18"/>
        </w:rPr>
        <w:t>(9), e1002389. https://doi.org/10.1371/journal.pmed.1002389</w:t>
      </w:r>
    </w:p>
    <w:p w14:paraId="612712E9" w14:textId="77777777" w:rsidR="00917137" w:rsidRDefault="00000000">
      <w:pPr>
        <w:ind w:left="432" w:hanging="432"/>
      </w:pPr>
      <w:r>
        <w:rPr>
          <w:sz w:val="18"/>
        </w:rPr>
        <w:t xml:space="preserve">McManus, R. J., Mant, J., Franssen, M., Nickless, A., Schwartz, C., Hodgkinson, J., Bradburn, P., Farmer, A., Grant, S., Greenfield, S. M., Heneghan, C., Jowett, S., Martin, U., Milner, S., Monahan, M., Mort, S., Ogburn, E., Perera-Salazar, R., Shah, S. A., ... Hobbs, F. D. R. (2018). Efficacy of self-monitored blood pressure, with or without telemonitoring, for titration of antihypertensive medication (TASMINH4): An unmasked randomised controlled trial. </w:t>
      </w:r>
      <w:r>
        <w:rPr>
          <w:i/>
          <w:sz w:val="18"/>
        </w:rPr>
        <w:t>The Lancet, 391</w:t>
      </w:r>
      <w:r>
        <w:rPr>
          <w:sz w:val="18"/>
        </w:rPr>
        <w:t>(10124), 949–959. https://doi.org/10.1016/S0140-6736(18)30309-X</w:t>
      </w:r>
    </w:p>
    <w:p w14:paraId="330D6F27" w14:textId="77777777" w:rsidR="00917137" w:rsidRDefault="00000000">
      <w:pPr>
        <w:ind w:left="432" w:hanging="432"/>
      </w:pPr>
      <w:r>
        <w:rPr>
          <w:sz w:val="18"/>
        </w:rPr>
        <w:t xml:space="preserve">McManus, R. J., Little, P., Stuart, B., Morton, K., Raftery, J., Kelly, J., Bradbury, K., Zhang, J., Zhu, S., Murray, E., May, C. R., Mair, F. S., Michie, S., Smith, P., Band, R., Ogburn, E., Allen, J., Rice, C., Nuttall, J., ... Yardley, L. (2021). Home and Online Management and Evaluation of Blood Pressure (HOME BP) using a digital intervention in poorly controlled hypertension: Randomised controlled trial. </w:t>
      </w:r>
      <w:r>
        <w:rPr>
          <w:i/>
          <w:sz w:val="18"/>
        </w:rPr>
        <w:t>BMJ, 372</w:t>
      </w:r>
      <w:r>
        <w:rPr>
          <w:sz w:val="18"/>
        </w:rPr>
        <w:t>, m4858. https://doi.org/10.1136/bmj.m4858</w:t>
      </w:r>
    </w:p>
    <w:p w14:paraId="256E0456" w14:textId="77777777" w:rsidR="00917137" w:rsidRDefault="00000000">
      <w:pPr>
        <w:spacing w:after="0" w:line="130" w:lineRule="exact"/>
        <w:jc w:val="center"/>
      </w:pPr>
      <w:r>
        <w:rPr>
          <w:color w:val="66706A"/>
          <w:sz w:val="12"/>
        </w:rPr>
        <w:t>© 2026 YourDNP.com. Free for personal and educational use. May be adapted for individual coursework or clinical learning. Not for resale or commercial redistribution.</w:t>
      </w:r>
      <w:r>
        <w:rPr>
          <w:b/>
          <w:color w:val="2B6B27"/>
          <w:sz w:val="12"/>
        </w:rPr>
        <w:br/>
        <w:t>Version 1.0 | August 2026</w:t>
      </w:r>
    </w:p>
    <w:sectPr w:rsidR="00917137" w:rsidSect="00034616">
      <w:headerReference w:type="even" r:id="rId9"/>
      <w:headerReference w:type="default" r:id="rId10"/>
      <w:footerReference w:type="even" r:id="rId11"/>
      <w:footerReference w:type="default" r:id="rId12"/>
      <w:headerReference w:type="first" r:id="rId13"/>
      <w:footerReference w:type="first" r:id="rId14"/>
      <w:pgSz w:w="12240" w:h="15840"/>
      <w:pgMar w:top="893" w:right="979" w:bottom="893" w:left="979" w:header="360"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BE3FBD" w14:textId="77777777" w:rsidR="006F77F0" w:rsidRDefault="006F77F0">
      <w:pPr>
        <w:spacing w:after="0" w:line="240" w:lineRule="auto"/>
      </w:pPr>
      <w:r>
        <w:separator/>
      </w:r>
    </w:p>
  </w:endnote>
  <w:endnote w:type="continuationSeparator" w:id="0">
    <w:p w14:paraId="03BA9FF7" w14:textId="77777777" w:rsidR="006F77F0" w:rsidRDefault="006F77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EB Garamond">
    <w:charset w:val="00"/>
    <w:family w:val="auto"/>
    <w:pitch w:val="variable"/>
    <w:sig w:usb0="E00002FF" w:usb1="020004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664BF7" w14:textId="77777777" w:rsidR="00917137" w:rsidRDefault="00000000">
    <w:pPr>
      <w:spacing w:after="0"/>
      <w:jc w:val="center"/>
    </w:pPr>
    <w:r>
      <w:rPr>
        <w:color w:val="66706A"/>
        <w:sz w:val="15"/>
      </w:rPr>
      <w:t xml:space="preserve">Free educational resource from </w:t>
    </w:r>
    <w:proofErr w:type="gramStart"/>
    <w:r>
      <w:rPr>
        <w:color w:val="66706A"/>
        <w:sz w:val="15"/>
      </w:rPr>
      <w:t>YourDNP.com  •</w:t>
    </w:r>
    <w:proofErr w:type="gramEnd"/>
    <w:r>
      <w:rPr>
        <w:color w:val="66706A"/>
        <w:sz w:val="15"/>
      </w:rPr>
      <w:t xml:space="preserve">  Verify requirements with your course rubric, faculty, and practice site.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3F8FE9" w14:textId="77777777" w:rsidR="00917137" w:rsidRDefault="00000000">
    <w:pPr>
      <w:spacing w:after="0"/>
      <w:jc w:val="center"/>
    </w:pPr>
    <w:r>
      <w:rPr>
        <w:color w:val="66706A"/>
        <w:sz w:val="15"/>
      </w:rPr>
      <w:t xml:space="preserve">Free educational resource from </w:t>
    </w:r>
    <w:proofErr w:type="gramStart"/>
    <w:r>
      <w:rPr>
        <w:color w:val="66706A"/>
        <w:sz w:val="15"/>
      </w:rPr>
      <w:t>YourDNP.com  •</w:t>
    </w:r>
    <w:proofErr w:type="gramEnd"/>
    <w:r>
      <w:rPr>
        <w:color w:val="66706A"/>
        <w:sz w:val="15"/>
      </w:rPr>
      <w:t xml:space="preserve">  Verify requirements with your course rubric, faculty, and practice site.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D897B5" w14:textId="77777777" w:rsidR="00917137" w:rsidRDefault="00000000">
    <w:pPr>
      <w:spacing w:after="0"/>
      <w:jc w:val="center"/>
    </w:pPr>
    <w:r>
      <w:rPr>
        <w:color w:val="66706A"/>
        <w:sz w:val="15"/>
      </w:rPr>
      <w:t xml:space="preserve">Free educational resource from </w:t>
    </w:r>
    <w:proofErr w:type="gramStart"/>
    <w:r>
      <w:rPr>
        <w:color w:val="66706A"/>
        <w:sz w:val="15"/>
      </w:rPr>
      <w:t>YourDNP.com  •</w:t>
    </w:r>
    <w:proofErr w:type="gramEnd"/>
    <w:r>
      <w:rPr>
        <w:color w:val="66706A"/>
        <w:sz w:val="15"/>
      </w:rPr>
      <w:t xml:space="preserve">  Verify requirements with your course rubric, faculty, and practice site.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CC288F" w14:textId="77777777" w:rsidR="006F77F0" w:rsidRDefault="006F77F0">
      <w:pPr>
        <w:spacing w:after="0" w:line="240" w:lineRule="auto"/>
      </w:pPr>
      <w:r>
        <w:separator/>
      </w:r>
    </w:p>
  </w:footnote>
  <w:footnote w:type="continuationSeparator" w:id="0">
    <w:p w14:paraId="38BAAF8F" w14:textId="77777777" w:rsidR="006F77F0" w:rsidRDefault="006F77F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51874" w14:textId="77777777" w:rsidR="00917137" w:rsidRDefault="00000000">
    <w:pPr>
      <w:spacing w:after="0"/>
      <w:jc w:val="right"/>
    </w:pPr>
    <w:proofErr w:type="gramStart"/>
    <w:r>
      <w:rPr>
        <w:rFonts w:ascii="EB Garamond" w:hAnsi="EB Garamond"/>
        <w:b/>
        <w:color w:val="2B6B27"/>
        <w:sz w:val="17"/>
      </w:rPr>
      <w:t>YourDNP.com</w:t>
    </w:r>
    <w:r>
      <w:rPr>
        <w:color w:val="66706A"/>
        <w:sz w:val="16"/>
      </w:rPr>
      <w:t xml:space="preserve">  |</w:t>
    </w:r>
    <w:proofErr w:type="gramEnd"/>
    <w:r>
      <w:rPr>
        <w:color w:val="66706A"/>
        <w:sz w:val="16"/>
      </w:rPr>
      <w:t xml:space="preserve">  Evidence Synthesis Writing </w:t>
    </w:r>
    <w:proofErr w:type="gramStart"/>
    <w:r>
      <w:rPr>
        <w:color w:val="66706A"/>
        <w:sz w:val="16"/>
      </w:rPr>
      <w:t>Guide  |</w:t>
    </w:r>
    <w:proofErr w:type="gramEnd"/>
    <w:r>
      <w:rPr>
        <w:color w:val="66706A"/>
        <w:sz w:val="16"/>
      </w:rPr>
      <w:t xml:space="preserve">  Completed Example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C6BD18" w14:textId="77777777" w:rsidR="00917137" w:rsidRDefault="00000000">
    <w:pPr>
      <w:spacing w:after="0"/>
      <w:jc w:val="right"/>
    </w:pPr>
    <w:proofErr w:type="gramStart"/>
    <w:r>
      <w:rPr>
        <w:rFonts w:ascii="EB Garamond" w:hAnsi="EB Garamond"/>
        <w:b/>
        <w:color w:val="2B6B27"/>
        <w:sz w:val="17"/>
      </w:rPr>
      <w:t>YourDNP.com</w:t>
    </w:r>
    <w:r>
      <w:rPr>
        <w:color w:val="66706A"/>
        <w:sz w:val="16"/>
      </w:rPr>
      <w:t xml:space="preserve">  |</w:t>
    </w:r>
    <w:proofErr w:type="gramEnd"/>
    <w:r>
      <w:rPr>
        <w:color w:val="66706A"/>
        <w:sz w:val="16"/>
      </w:rPr>
      <w:t xml:space="preserve">  Evidence Synthesis Writing </w:t>
    </w:r>
    <w:proofErr w:type="gramStart"/>
    <w:r>
      <w:rPr>
        <w:color w:val="66706A"/>
        <w:sz w:val="16"/>
      </w:rPr>
      <w:t>Guide  |</w:t>
    </w:r>
    <w:proofErr w:type="gramEnd"/>
    <w:r>
      <w:rPr>
        <w:color w:val="66706A"/>
        <w:sz w:val="16"/>
      </w:rPr>
      <w:t xml:space="preserve">  Completed Example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40F6F" w14:textId="77777777" w:rsidR="00917137" w:rsidRDefault="00000000">
    <w:pPr>
      <w:spacing w:after="0"/>
      <w:jc w:val="right"/>
    </w:pPr>
    <w:proofErr w:type="gramStart"/>
    <w:r>
      <w:rPr>
        <w:rFonts w:ascii="EB Garamond" w:hAnsi="EB Garamond"/>
        <w:b/>
        <w:color w:val="2B6B27"/>
        <w:sz w:val="17"/>
      </w:rPr>
      <w:t>YourDNP.com</w:t>
    </w:r>
    <w:r>
      <w:rPr>
        <w:color w:val="66706A"/>
        <w:sz w:val="16"/>
      </w:rPr>
      <w:t xml:space="preserve">  |</w:t>
    </w:r>
    <w:proofErr w:type="gramEnd"/>
    <w:r>
      <w:rPr>
        <w:color w:val="66706A"/>
        <w:sz w:val="16"/>
      </w:rPr>
      <w:t xml:space="preserve">  Evidence Synthesis Writing </w:t>
    </w:r>
    <w:proofErr w:type="gramStart"/>
    <w:r>
      <w:rPr>
        <w:color w:val="66706A"/>
        <w:sz w:val="16"/>
      </w:rPr>
      <w:t>Guide  |</w:t>
    </w:r>
    <w:proofErr w:type="gramEnd"/>
    <w:r>
      <w:rPr>
        <w:color w:val="66706A"/>
        <w:sz w:val="16"/>
      </w:rPr>
      <w:t xml:space="preserve">  Completed Example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36979572">
    <w:abstractNumId w:val="8"/>
  </w:num>
  <w:num w:numId="2" w16cid:durableId="1993362354">
    <w:abstractNumId w:val="6"/>
  </w:num>
  <w:num w:numId="3" w16cid:durableId="596181470">
    <w:abstractNumId w:val="5"/>
  </w:num>
  <w:num w:numId="4" w16cid:durableId="1002052480">
    <w:abstractNumId w:val="4"/>
  </w:num>
  <w:num w:numId="5" w16cid:durableId="1991522407">
    <w:abstractNumId w:val="7"/>
  </w:num>
  <w:num w:numId="6" w16cid:durableId="1667633320">
    <w:abstractNumId w:val="3"/>
  </w:num>
  <w:num w:numId="7" w16cid:durableId="1380085760">
    <w:abstractNumId w:val="2"/>
  </w:num>
  <w:num w:numId="8" w16cid:durableId="2032562147">
    <w:abstractNumId w:val="1"/>
  </w:num>
  <w:num w:numId="9" w16cid:durableId="9742150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6F77F0"/>
    <w:rsid w:val="00857F3F"/>
    <w:rsid w:val="008B0E57"/>
    <w:rsid w:val="00917137"/>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AE529D1"/>
  <w14:defaultImageDpi w14:val="300"/>
  <w15:docId w15:val="{870CB6CA-99C0-418C-97C6-C76B7A95CD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80"/>
    </w:pPr>
    <w:rPr>
      <w:rFonts w:ascii="Aptos" w:hAnsi="Aptos"/>
      <w:color w:val="202020"/>
      <w:sz w:val="21"/>
    </w:rPr>
  </w:style>
  <w:style w:type="paragraph" w:styleId="Heading1">
    <w:name w:val="heading 1"/>
    <w:basedOn w:val="Normal"/>
    <w:next w:val="Normal"/>
    <w:link w:val="Heading1Char"/>
    <w:uiPriority w:val="9"/>
    <w:qFormat/>
    <w:rsid w:val="00FC693F"/>
    <w:pPr>
      <w:keepNext/>
      <w:keepLines/>
      <w:spacing w:before="160"/>
      <w:outlineLvl w:val="0"/>
    </w:pPr>
    <w:rPr>
      <w:rFonts w:asciiTheme="majorHAnsi" w:eastAsiaTheme="majorEastAsia" w:hAnsiTheme="majorHAnsi" w:cstheme="majorBidi"/>
      <w:b/>
      <w:bCs/>
      <w:sz w:val="36"/>
      <w:szCs w:val="28"/>
    </w:rPr>
  </w:style>
  <w:style w:type="paragraph" w:styleId="Heading2">
    <w:name w:val="heading 2"/>
    <w:basedOn w:val="Normal"/>
    <w:next w:val="Normal"/>
    <w:link w:val="Heading2Char"/>
    <w:uiPriority w:val="9"/>
    <w:unhideWhenUsed/>
    <w:qFormat/>
    <w:rsid w:val="00FC693F"/>
    <w:pPr>
      <w:keepNext/>
      <w:keepLines/>
      <w:spacing w:before="160"/>
      <w:outlineLvl w:val="1"/>
    </w:pPr>
    <w:rPr>
      <w:rFonts w:asciiTheme="majorHAnsi" w:eastAsiaTheme="majorEastAsia" w:hAnsiTheme="majorHAnsi" w:cstheme="majorBidi"/>
      <w:b/>
      <w:bCs/>
      <w:sz w:val="27"/>
      <w:szCs w:val="26"/>
    </w:rPr>
  </w:style>
  <w:style w:type="paragraph" w:styleId="Heading3">
    <w:name w:val="heading 3"/>
    <w:basedOn w:val="Normal"/>
    <w:next w:val="Normal"/>
    <w:link w:val="Heading3Char"/>
    <w:uiPriority w:val="9"/>
    <w:unhideWhenUsed/>
    <w:qFormat/>
    <w:rsid w:val="00FC693F"/>
    <w:pPr>
      <w:keepNext/>
      <w:keepLines/>
      <w:spacing w:before="160"/>
      <w:outlineLvl w:val="2"/>
    </w:pPr>
    <w:rPr>
      <w:rFonts w:asciiTheme="majorHAnsi" w:eastAsiaTheme="majorEastAsia" w:hAnsiTheme="majorHAnsi" w:cstheme="majorBidi"/>
      <w:b/>
      <w:bCs/>
      <w:color w:val="2B6B27"/>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ExampleText">
    <w:name w:val="Example Text"/>
    <w:pPr>
      <w:spacing w:after="60"/>
    </w:pPr>
    <w:rPr>
      <w:rFonts w:ascii="Aptos" w:hAnsi="Aptos"/>
      <w:color w:val="20202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1088</Words>
  <Characters>6207</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7281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Evidence Synthesis Writing Guide - Completed Example</dc:title>
  <dc:subject>YourDNP.com educational resource</dc:subject>
  <dc:creator>YourDNP.com</dc:creator>
  <cp:keywords/>
  <dc:description>generated by python-docx</dc:description>
  <cp:lastModifiedBy>Jean Hopkins</cp:lastModifiedBy>
  <cp:revision>2</cp:revision>
  <dcterms:created xsi:type="dcterms:W3CDTF">2013-12-23T23:15:00Z</dcterms:created>
  <dcterms:modified xsi:type="dcterms:W3CDTF">2026-08-13T20:17:00Z</dcterms:modified>
  <cp:category/>
</cp:coreProperties>
</file>