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5E82" w14:textId="77777777" w:rsidR="00E1169A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117A875A" wp14:editId="24A735EE">
            <wp:extent cx="3886200" cy="440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dnp_logo_flourish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5E4B" w14:textId="77777777" w:rsidR="00E1169A" w:rsidRDefault="00000000">
      <w:pPr>
        <w:jc w:val="center"/>
      </w:pPr>
      <w:r>
        <w:rPr>
          <w:rFonts w:ascii="EB Garamond" w:eastAsia="EB Garamond" w:hAnsi="EB Garamond"/>
          <w:b/>
          <w:sz w:val="54"/>
        </w:rPr>
        <w:t>Clinical Rotation Planner</w:t>
      </w:r>
    </w:p>
    <w:p w14:paraId="10B83E83" w14:textId="77777777" w:rsidR="00E1169A" w:rsidRDefault="00000000">
      <w:pPr>
        <w:spacing w:after="320"/>
        <w:jc w:val="center"/>
      </w:pPr>
      <w:r>
        <w:rPr>
          <w:rFonts w:eastAsia="Aptos"/>
          <w:b/>
          <w:color w:val="2B6B27"/>
        </w:rPr>
        <w:t>COMPLETED EXAMPLE</w:t>
      </w:r>
      <w:r>
        <w:rPr>
          <w:color w:val="66706A"/>
        </w:rPr>
        <w:t xml:space="preserve">  •  Fictional family-practice rotation. Site, names, dates, and schedule are illustrative; no patient identifiers are included.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7632"/>
      </w:tblGrid>
      <w:tr w:rsidR="00E1169A" w14:paraId="394B90E2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742E436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Student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2C399D12" w14:textId="124E0968" w:rsidR="00E1169A" w:rsidRDefault="002F21D4">
            <w:pPr>
              <w:spacing w:after="0"/>
            </w:pPr>
            <w:r>
              <w:rPr>
                <w:sz w:val="18"/>
              </w:rPr>
              <w:t>YourDNP.com</w:t>
            </w:r>
          </w:p>
        </w:tc>
      </w:tr>
      <w:tr w:rsidR="00E1169A" w14:paraId="666B2254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30203AC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Course / Rotation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1F53A199" w14:textId="77777777" w:rsidR="00E1169A" w:rsidRDefault="00000000">
            <w:pPr>
              <w:spacing w:after="0"/>
            </w:pPr>
            <w:r>
              <w:rPr>
                <w:sz w:val="18"/>
              </w:rPr>
              <w:t>FNP Primary Care Practicum</w:t>
            </w:r>
          </w:p>
        </w:tc>
      </w:tr>
      <w:tr w:rsidR="00E1169A" w14:paraId="3C1B6574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710CFC0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Clinical Site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1AFECD6C" w14:textId="77777777" w:rsidR="00E1169A" w:rsidRDefault="00000000">
            <w:pPr>
              <w:spacing w:after="0"/>
            </w:pPr>
            <w:r>
              <w:rPr>
                <w:sz w:val="18"/>
              </w:rPr>
              <w:t>Northside Family Medicine (fictional)</w:t>
            </w:r>
          </w:p>
        </w:tc>
      </w:tr>
      <w:tr w:rsidR="00E1169A" w14:paraId="2E1EF085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20FD5FB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Preceptor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3490B28F" w14:textId="77777777" w:rsidR="00E1169A" w:rsidRDefault="00000000">
            <w:pPr>
              <w:spacing w:after="0"/>
            </w:pPr>
            <w:r>
              <w:rPr>
                <w:sz w:val="18"/>
              </w:rPr>
              <w:t>A. Patel, DNP, APRN, FNP-C (fictional)</w:t>
            </w:r>
          </w:p>
        </w:tc>
      </w:tr>
      <w:tr w:rsidR="00E1169A" w14:paraId="318B6D9C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3FDDD41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Rotation Dates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6D1DF6A1" w14:textId="77777777" w:rsidR="00E1169A" w:rsidRDefault="00000000">
            <w:pPr>
              <w:spacing w:after="0"/>
            </w:pPr>
            <w:r>
              <w:rPr>
                <w:sz w:val="18"/>
              </w:rPr>
              <w:t>September 8–October 15, 2026</w:t>
            </w:r>
          </w:p>
        </w:tc>
      </w:tr>
      <w:tr w:rsidR="00E1169A" w14:paraId="7F12F8B7" w14:textId="77777777">
        <w:trPr>
          <w:trHeight w:val="547"/>
          <w:jc w:val="center"/>
        </w:trPr>
        <w:tc>
          <w:tcPr>
            <w:tcW w:w="266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CF8BB89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</w:rPr>
              <w:t>Required Hours</w:t>
            </w:r>
          </w:p>
        </w:tc>
        <w:tc>
          <w:tcPr>
            <w:tcW w:w="76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110" w:type="dxa"/>
              <w:left w:w="90" w:type="dxa"/>
              <w:bottom w:w="110" w:type="dxa"/>
              <w:right w:w="90" w:type="dxa"/>
            </w:tcMar>
          </w:tcPr>
          <w:p w14:paraId="7D3F43A4" w14:textId="77777777" w:rsidR="00E1169A" w:rsidRDefault="00000000">
            <w:pPr>
              <w:spacing w:after="0"/>
            </w:pPr>
            <w:r>
              <w:rPr>
                <w:sz w:val="18"/>
              </w:rPr>
              <w:t>96 hours (example requirement)</w:t>
            </w:r>
          </w:p>
        </w:tc>
      </w:tr>
    </w:tbl>
    <w:p w14:paraId="15DC745A" w14:textId="77777777" w:rsidR="00E1169A" w:rsidRDefault="00000000">
      <w:pPr>
        <w:spacing w:before="240" w:after="100"/>
      </w:pPr>
      <w:r>
        <w:rPr>
          <w:rFonts w:ascii="EB Garamond" w:eastAsia="EB Garamond" w:hAnsi="EB Garamond"/>
          <w:b/>
          <w:color w:val="2B6B27"/>
          <w:sz w:val="32"/>
        </w:rPr>
        <w:t>How to Use This Toolkit</w:t>
      </w:r>
    </w:p>
    <w:p w14:paraId="45685B84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1. </w:t>
      </w:r>
      <w:r>
        <w:rPr>
          <w:rFonts w:eastAsia="Aptos"/>
        </w:rPr>
        <w:t>Enter site, course, and preceptor information before the rotation begins.</w:t>
      </w:r>
    </w:p>
    <w:p w14:paraId="4F8BA0FB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2. </w:t>
      </w:r>
      <w:r>
        <w:rPr>
          <w:rFonts w:eastAsia="Aptos"/>
        </w:rPr>
        <w:t>Complete onboarding and clearance requirements using your program and clinical-site instructions.</w:t>
      </w:r>
    </w:p>
    <w:p w14:paraId="3AABA8B5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3. </w:t>
      </w:r>
      <w:r>
        <w:rPr>
          <w:rFonts w:eastAsia="Aptos"/>
        </w:rPr>
        <w:t>Set a small number of specific learning goals for the rotation.</w:t>
      </w:r>
    </w:p>
    <w:p w14:paraId="6673F454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4. </w:t>
      </w:r>
      <w:r>
        <w:rPr>
          <w:rFonts w:eastAsia="Aptos"/>
        </w:rPr>
        <w:t>Track hours and required encounter data in the system required by your program.</w:t>
      </w:r>
    </w:p>
    <w:p w14:paraId="09712CC9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5. </w:t>
      </w:r>
      <w:r>
        <w:rPr>
          <w:rFonts w:eastAsia="Aptos"/>
        </w:rPr>
        <w:t>Use this planner for learning notes and professional development, never for patient identifiers or protected health information.</w:t>
      </w:r>
    </w:p>
    <w:p w14:paraId="55CFCE92" w14:textId="77777777" w:rsidR="00E1169A" w:rsidRDefault="00000000">
      <w:pPr>
        <w:spacing w:after="40"/>
      </w:pPr>
      <w:r>
        <w:rPr>
          <w:rFonts w:eastAsia="Aptos"/>
          <w:b/>
          <w:color w:val="2B6B27"/>
        </w:rPr>
        <w:t xml:space="preserve">6. </w:t>
      </w:r>
      <w:r>
        <w:rPr>
          <w:rFonts w:eastAsia="Aptos"/>
        </w:rPr>
        <w:t>Review feedback at midpoint and end of rotation, then identify the next skills or topics to develop.</w:t>
      </w:r>
    </w:p>
    <w:p w14:paraId="20348FAE" w14:textId="77777777" w:rsidR="00E1169A" w:rsidRDefault="00000000">
      <w:r>
        <w:br w:type="page"/>
      </w:r>
    </w:p>
    <w:p w14:paraId="1B78DB7B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1. </w:t>
      </w:r>
      <w:r>
        <w:rPr>
          <w:rFonts w:ascii="EB Garamond" w:eastAsia="EB Garamond" w:hAnsi="EB Garamond"/>
          <w:b/>
          <w:sz w:val="36"/>
        </w:rPr>
        <w:t>Rotation Snapshot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E1169A" w14:paraId="4C1BA77C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8CC4A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Clinical site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1D4C0" w14:textId="77777777" w:rsidR="00E1169A" w:rsidRDefault="00000000">
            <w:pPr>
              <w:spacing w:after="0"/>
            </w:pPr>
            <w:r>
              <w:rPr>
                <w:sz w:val="16"/>
              </w:rPr>
              <w:t>Northside Family Medicine — fictional outpatient family-practice clinic.</w:t>
            </w:r>
          </w:p>
        </w:tc>
      </w:tr>
      <w:tr w:rsidR="00E1169A" w14:paraId="7F7AB017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F522CD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Site address / location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44FBBF" w14:textId="77777777" w:rsidR="00E1169A" w:rsidRDefault="00000000">
            <w:pPr>
              <w:spacing w:after="0"/>
            </w:pPr>
            <w:r>
              <w:rPr>
                <w:sz w:val="16"/>
              </w:rPr>
              <w:t>100 Example Avenue, Sample City, MN (fictional).</w:t>
            </w:r>
          </w:p>
        </w:tc>
      </w:tr>
      <w:tr w:rsidR="00E1169A" w14:paraId="611D99E4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C25D2A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Preceptor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CE302" w14:textId="77777777" w:rsidR="00E1169A" w:rsidRDefault="00000000">
            <w:pPr>
              <w:spacing w:after="0"/>
            </w:pPr>
            <w:r>
              <w:rPr>
                <w:sz w:val="16"/>
              </w:rPr>
              <w:t>A. Patel, DNP, APRN, FNP-C; preferred contact: secure organizational email.</w:t>
            </w:r>
          </w:p>
        </w:tc>
      </w:tr>
      <w:tr w:rsidR="00E1169A" w14:paraId="67C23D7F" w14:textId="77777777">
        <w:trPr>
          <w:trHeight w:val="108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A5BBAF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Clinical schedule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E0C14" w14:textId="77777777" w:rsidR="00E1169A" w:rsidRDefault="00000000">
            <w:pPr>
              <w:spacing w:after="0"/>
            </w:pPr>
            <w:r>
              <w:rPr>
                <w:sz w:val="16"/>
              </w:rPr>
              <w:t>Tuesdays and Thursdays, 0800–1630, with 30-minute unpaid meal break; 8 clinical hours/day.</w:t>
            </w:r>
          </w:p>
        </w:tc>
      </w:tr>
      <w:tr w:rsidR="00E1169A" w14:paraId="111973D7" w14:textId="77777777">
        <w:trPr>
          <w:trHeight w:val="93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BE1000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Required hours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7881D5" w14:textId="77777777" w:rsidR="00E1169A" w:rsidRDefault="00000000">
            <w:pPr>
              <w:spacing w:after="0"/>
            </w:pPr>
            <w:r>
              <w:rPr>
                <w:sz w:val="16"/>
              </w:rPr>
              <w:t>96 hours for this example. Follow the requirement assigned by your own program.</w:t>
            </w:r>
          </w:p>
        </w:tc>
      </w:tr>
      <w:tr w:rsidR="00E1169A" w14:paraId="0D0B392F" w14:textId="77777777">
        <w:trPr>
          <w:trHeight w:val="144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DC012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Course objectives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E3886" w14:textId="77777777" w:rsidR="00E1169A" w:rsidRDefault="00000000">
            <w:pPr>
              <w:spacing w:after="0"/>
            </w:pPr>
            <w:r>
              <w:rPr>
                <w:sz w:val="16"/>
              </w:rPr>
              <w:t>Develop focused histories/exams, differential diagnoses, evidence-informed management plans, preventive care, patient education, follow-up, oral presentation, and professional documentation under preceptor supervision.</w:t>
            </w:r>
          </w:p>
        </w:tc>
      </w:tr>
      <w:tr w:rsidR="00E1169A" w14:paraId="770CC01B" w14:textId="77777777">
        <w:trPr>
          <w:trHeight w:val="1440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9D8503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Site-specific expectations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47BC2" w14:textId="77777777" w:rsidR="00E1169A" w:rsidRDefault="00000000">
            <w:pPr>
              <w:spacing w:after="0"/>
            </w:pPr>
            <w:r>
              <w:rPr>
                <w:sz w:val="16"/>
              </w:rPr>
              <w:t>Arrive by 0745; staff parking area; student badge visible; business-casual attire; bring stethoscope; use only site-approved systems for clinical information.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82"/>
      </w:tblGrid>
      <w:tr w:rsidR="00E1169A" w14:paraId="1856BD08" w14:textId="77777777">
        <w:trPr>
          <w:jc w:val="center"/>
        </w:trPr>
        <w:tc>
          <w:tcPr>
            <w:tcW w:w="1028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F32BBAD" w14:textId="77777777" w:rsidR="00E1169A" w:rsidRDefault="00000000">
            <w:pPr>
              <w:spacing w:after="40"/>
            </w:pPr>
            <w:r>
              <w:rPr>
                <w:rFonts w:eastAsia="Aptos"/>
                <w:b/>
                <w:color w:val="2B6B27"/>
                <w:sz w:val="20"/>
              </w:rPr>
              <w:t>Privacy Reminder</w:t>
            </w:r>
            <w:r>
              <w:rPr>
                <w:rFonts w:eastAsia="Aptos"/>
                <w:sz w:val="19"/>
              </w:rPr>
              <w:br/>
              <w:t>Do not record patient names, dates of birth, medical record numbers, contact information, or other patient identifiers in this planner. Use the clinical-tracking system and documentation process required by your program and site.</w:t>
            </w:r>
          </w:p>
        </w:tc>
      </w:tr>
    </w:tbl>
    <w:p w14:paraId="529EA5EF" w14:textId="77777777" w:rsidR="00E1169A" w:rsidRDefault="00000000">
      <w:r>
        <w:br w:type="page"/>
      </w:r>
    </w:p>
    <w:p w14:paraId="2B50AD59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2. </w:t>
      </w:r>
      <w:r>
        <w:rPr>
          <w:rFonts w:ascii="EB Garamond" w:eastAsia="EB Garamond" w:hAnsi="EB Garamond"/>
          <w:b/>
          <w:sz w:val="36"/>
        </w:rPr>
        <w:t>Pre-Rotation Readiness</w:t>
      </w:r>
    </w:p>
    <w:p w14:paraId="5116FBE8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Placement is approved by the academic program.</w:t>
      </w:r>
    </w:p>
    <w:p w14:paraId="79CAE58B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Clinical site has confirmed acceptance and start date.</w:t>
      </w:r>
    </w:p>
    <w:p w14:paraId="77D505C5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Required license, CPR/BLS, immunization, TB, background, drug-screen, or other compliance items are current when applicable.</w:t>
      </w:r>
    </w:p>
    <w:p w14:paraId="424B5592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Confidentiality, safety, EHR, and site onboarding are complete.</w:t>
      </w:r>
    </w:p>
    <w:p w14:paraId="5F1E9761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Badge, parking, access, dress-code, and arrival instructions are confirmed.</w:t>
      </w:r>
    </w:p>
    <w:p w14:paraId="33A2602C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Preceptor contact information and first-day expectations are confirmed.</w:t>
      </w:r>
    </w:p>
    <w:p w14:paraId="77503C17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Course objectives, clinical requirements, and evaluation forms are available.</w:t>
      </w:r>
    </w:p>
    <w:p w14:paraId="5C1E42D4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Required clinical-tracking system is set up and accessible.</w:t>
      </w:r>
    </w:p>
    <w:p w14:paraId="0FF69E41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Personal equipment needed for the setting is ready.</w:t>
      </w:r>
    </w:p>
    <w:p w14:paraId="0321D1EC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A plan is in place for documenting hours and encounters promptly.</w:t>
      </w:r>
    </w:p>
    <w:p w14:paraId="437F07F3" w14:textId="77777777" w:rsidR="00E1169A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>Questions to Resolve Before Day One</w:t>
      </w:r>
    </w:p>
    <w:p w14:paraId="7B60DE7A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Resolved: Meet preceptor at the clinical workroom at 0745 on the first day.</w:t>
      </w:r>
    </w:p>
    <w:p w14:paraId="4E43E010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Resolved: Personal laptop is not needed; all documentation occurs in the site EHR.</w:t>
      </w:r>
    </w:p>
    <w:p w14:paraId="1CF79577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Resolved: Bring stethoscope and small notebook for non-PHI learning notes only.</w:t>
      </w:r>
    </w:p>
    <w:p w14:paraId="612DACED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Confirm midpoint evaluation date with preceptor during week 1.</w:t>
      </w:r>
    </w:p>
    <w:p w14:paraId="304FF0DE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Verify how the program wants procedure/encounter categories entered in the official tracking system.</w:t>
      </w:r>
    </w:p>
    <w:p w14:paraId="05D8364A" w14:textId="77777777" w:rsidR="00E1169A" w:rsidRDefault="00000000">
      <w:r>
        <w:br w:type="page"/>
      </w:r>
    </w:p>
    <w:p w14:paraId="52A76CDA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3. </w:t>
      </w:r>
      <w:r>
        <w:rPr>
          <w:rFonts w:ascii="EB Garamond" w:eastAsia="EB Garamond" w:hAnsi="EB Garamond"/>
          <w:b/>
          <w:sz w:val="36"/>
        </w:rPr>
        <w:t>Learning Goals</w:t>
      </w:r>
    </w:p>
    <w:p w14:paraId="7C07DB55" w14:textId="77777777" w:rsidR="00E1169A" w:rsidRDefault="00000000">
      <w:pPr>
        <w:spacing w:after="140"/>
      </w:pPr>
      <w:r>
        <w:rPr>
          <w:rFonts w:eastAsia="Aptos"/>
          <w:color w:val="66706A"/>
        </w:rPr>
        <w:t>Choose goals that are specific enough to guide your clinical days and flexible enough to respond to the patients you actually encounter.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8"/>
        <w:gridCol w:w="1944"/>
        <w:gridCol w:w="2376"/>
        <w:gridCol w:w="2232"/>
        <w:gridCol w:w="1296"/>
      </w:tblGrid>
      <w:tr w:rsidR="00E1169A" w14:paraId="532D7FB5" w14:textId="77777777">
        <w:trPr>
          <w:tblHeader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763A8C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Learning Goal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B0F1A3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Why It Matters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32DFD1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How I Will Practice It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C13A7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Evidence of Progress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EC52B4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Review Date</w:t>
            </w:r>
          </w:p>
        </w:tc>
      </w:tr>
      <w:tr w:rsidR="00E1169A" w14:paraId="20BE9627" w14:textId="77777777">
        <w:trPr>
          <w:trHeight w:val="1296"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89251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Develop a focused differential for common primary-care presentations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5F964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Supports safe diagnostic reasoning and appropriate testing/referral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14F5D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Form my own differential before presenting; state most likely + dangerous alternatives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28F17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Preceptor notes increasingly organized differentials with fewer prompts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C4DF7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9/24</w:t>
            </w:r>
          </w:p>
        </w:tc>
      </w:tr>
      <w:tr w:rsidR="00E1169A" w14:paraId="5D1EEDB5" w14:textId="77777777">
        <w:trPr>
          <w:trHeight w:val="1296"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93248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Improve chronic-disease medication planning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EDC23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FNP role requires integrating BP/diabetes/lipid data, medication risks, follow-up, and patient goals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3F6F2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Review current guideline/medication resource before plan; discuss monitoring and follow-up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98CC9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Can explain rationale, contraindications, monitoring, and follow-up for common medication changes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EE96D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</w:t>
            </w:r>
          </w:p>
        </w:tc>
      </w:tr>
      <w:tr w:rsidR="00E1169A" w14:paraId="002ACACB" w14:textId="77777777">
        <w:trPr>
          <w:trHeight w:val="1296"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922CF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Integrate prevention into problem-focused visits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D3F55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Screening/immunization opportunities are often identified during routine care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78F7B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Check age/risk-appropriate preventive needs when clinically relevant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C49FF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More consistent preventive-care review without derailing acute visit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F38C6A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10/6</w:t>
            </w:r>
          </w:p>
        </w:tc>
      </w:tr>
      <w:tr w:rsidR="00E1169A" w14:paraId="4803C138" w14:textId="77777777">
        <w:trPr>
          <w:trHeight w:val="1296"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B28F7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Present patients concisely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3660C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Efficient communication helps preceptor assess reasoning and plan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2CBD3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Use brief problem representation + focused assessment/differential/plan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642D7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Presentations become shorter while retaining key positives/negatives and rationale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310E7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10/8</w:t>
            </w:r>
          </w:p>
        </w:tc>
      </w:tr>
      <w:tr w:rsidR="00E1169A" w14:paraId="3A0E1254" w14:textId="77777777">
        <w:trPr>
          <w:trHeight w:val="1296"/>
          <w:jc w:val="center"/>
        </w:trPr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1855C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Improve plan documentation and follow-up instructions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9FF50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Clear documentation supports continuity and safety</w:t>
            </w:r>
          </w:p>
        </w:tc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890FA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Draft assessment/plan using site format; explicitly include return precautions and follow-up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2A2CE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Fewer edits needed for organization, specificity, and follow-up language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0A168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10/15</w:t>
            </w:r>
          </w:p>
        </w:tc>
      </w:tr>
    </w:tbl>
    <w:p w14:paraId="48E1F496" w14:textId="77777777" w:rsidR="00E1169A" w:rsidRDefault="00000000">
      <w:r>
        <w:br w:type="page"/>
      </w:r>
    </w:p>
    <w:p w14:paraId="1F70F0B1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4. </w:t>
      </w:r>
      <w:r>
        <w:rPr>
          <w:rFonts w:ascii="EB Garamond" w:eastAsia="EB Garamond" w:hAnsi="EB Garamond"/>
          <w:b/>
          <w:sz w:val="36"/>
        </w:rPr>
        <w:t>Clinical Schedule and Hours Tracker</w:t>
      </w:r>
    </w:p>
    <w:p w14:paraId="4ACE73BE" w14:textId="77777777" w:rsidR="00E1169A" w:rsidRDefault="00000000">
      <w:pPr>
        <w:spacing w:after="140"/>
      </w:pPr>
      <w:r>
        <w:rPr>
          <w:rFonts w:eastAsia="Aptos"/>
          <w:color w:val="66706A"/>
        </w:rPr>
        <w:t>Record official hours in the system required by your program. This table is a planning and personal tracking aid.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440"/>
        <w:gridCol w:w="1440"/>
        <w:gridCol w:w="1440"/>
        <w:gridCol w:w="2088"/>
        <w:gridCol w:w="2592"/>
      </w:tblGrid>
      <w:tr w:rsidR="00E1169A" w14:paraId="7E6CA91C" w14:textId="77777777">
        <w:trPr>
          <w:tblHeader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3B17C3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Date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0B889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Planned Hours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836F9B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Actual Hours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5D5EFA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Running Total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119C93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Preceptor / Setting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B081B4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Notes</w:t>
            </w:r>
          </w:p>
        </w:tc>
      </w:tr>
      <w:tr w:rsidR="00E1169A" w14:paraId="44C466C1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A0856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2A2EA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4CE15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6E69B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D9EBB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34CDB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Orientation; adult chronic care</w:t>
            </w:r>
          </w:p>
        </w:tc>
      </w:tr>
      <w:tr w:rsidR="00E1169A" w14:paraId="6DBDC206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A6D75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9/10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9F637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B8B88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8C187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16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94608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4720B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Adult + pediatric visits</w:t>
            </w:r>
          </w:p>
        </w:tc>
      </w:tr>
      <w:tr w:rsidR="00E1169A" w14:paraId="09349604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C941F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9/15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455D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8E841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6DE51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24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FA2D1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A0E31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Acute + preventive care</w:t>
            </w:r>
          </w:p>
        </w:tc>
      </w:tr>
      <w:tr w:rsidR="00E1169A" w14:paraId="30972DD3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6BD4D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9/17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D04D0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29314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557D0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32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A9C9B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AC1B1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Chronic disease follow-up</w:t>
            </w:r>
          </w:p>
        </w:tc>
      </w:tr>
      <w:tr w:rsidR="00E1169A" w14:paraId="7FD2EA1D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C5B88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9/22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456B8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3A513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4A6F8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40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A5E2B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F666C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Women’s health + primary care</w:t>
            </w:r>
          </w:p>
        </w:tc>
      </w:tr>
      <w:tr w:rsidR="00E1169A" w14:paraId="53AD0A05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6C4F5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9/24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2CEA1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1C54C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AEC745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48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38DE3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B0BF7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Midpoint review</w:t>
            </w:r>
          </w:p>
        </w:tc>
      </w:tr>
      <w:tr w:rsidR="00E1169A" w14:paraId="1117922C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66560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9/29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FF402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4E054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2DED4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56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F3BCB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9C8E9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Adult primary care</w:t>
            </w:r>
          </w:p>
        </w:tc>
      </w:tr>
      <w:tr w:rsidR="00E1169A" w14:paraId="506C3EF4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4F6ED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5CE13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3839A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0839C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64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9E0C3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469FC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Mixed-age visits</w:t>
            </w:r>
          </w:p>
        </w:tc>
      </w:tr>
      <w:tr w:rsidR="00E1169A" w14:paraId="63C173A3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B7F02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10/6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85F0E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7684E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D4C53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72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9DC2A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40DF4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Preventive + chronic care</w:t>
            </w:r>
          </w:p>
        </w:tc>
      </w:tr>
      <w:tr w:rsidR="00E1169A" w14:paraId="3A621EE7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7E28C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F0329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D196D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944A6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80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F7809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0D617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Acute care + follow-up</w:t>
            </w:r>
          </w:p>
        </w:tc>
      </w:tr>
      <w:tr w:rsidR="00E1169A" w14:paraId="277C30FE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484E9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10/13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FD074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0CD64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85576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88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77F78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606E8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Mixed primary care</w:t>
            </w:r>
          </w:p>
        </w:tc>
      </w:tr>
      <w:tr w:rsidR="00E1169A" w14:paraId="259243B8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7049E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10/15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D0F82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CC5E4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48FA5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96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B9D3A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A. Patel / Family Practice</w:t>
            </w: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FA3A1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Final clinical day/evaluation</w:t>
            </w:r>
          </w:p>
        </w:tc>
      </w:tr>
      <w:tr w:rsidR="00E1169A" w14:paraId="292CECFB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3C9D64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6F0454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06063A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298E5B" w14:textId="77777777" w:rsidR="00E1169A" w:rsidRDefault="00E1169A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46DDC6" w14:textId="77777777" w:rsidR="00E1169A" w:rsidRDefault="00E1169A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B6CEEB" w14:textId="77777777" w:rsidR="00E1169A" w:rsidRDefault="00E1169A">
            <w:pPr>
              <w:spacing w:after="0"/>
            </w:pPr>
          </w:p>
        </w:tc>
      </w:tr>
      <w:tr w:rsidR="00E1169A" w14:paraId="6AAFD1EA" w14:textId="77777777">
        <w:trPr>
          <w:trHeight w:val="605"/>
          <w:jc w:val="center"/>
        </w:trPr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8C2A55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40CDDB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0260F44" w14:textId="77777777" w:rsidR="00E1169A" w:rsidRDefault="00E1169A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249332" w14:textId="77777777" w:rsidR="00E1169A" w:rsidRDefault="00E1169A">
            <w:pPr>
              <w:spacing w:after="0"/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2FC9CC" w14:textId="77777777" w:rsidR="00E1169A" w:rsidRDefault="00E1169A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5D4869" w14:textId="77777777" w:rsidR="00E1169A" w:rsidRDefault="00E1169A">
            <w:pPr>
              <w:spacing w:after="0"/>
            </w:pPr>
          </w:p>
        </w:tc>
      </w:tr>
    </w:tbl>
    <w:p w14:paraId="7614DBD1" w14:textId="77777777" w:rsidR="00E1169A" w:rsidRDefault="00000000">
      <w:r>
        <w:br w:type="page"/>
      </w:r>
    </w:p>
    <w:p w14:paraId="1941CAA7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5. </w:t>
      </w:r>
      <w:r>
        <w:rPr>
          <w:rFonts w:ascii="EB Garamond" w:eastAsia="EB Garamond" w:hAnsi="EB Garamond"/>
          <w:b/>
          <w:sz w:val="36"/>
        </w:rPr>
        <w:t>Clinical Learning Log</w:t>
      </w:r>
    </w:p>
    <w:p w14:paraId="0C082789" w14:textId="77777777" w:rsidR="00E1169A" w:rsidRDefault="00000000">
      <w:pPr>
        <w:spacing w:after="140"/>
      </w:pPr>
      <w:r>
        <w:rPr>
          <w:rFonts w:eastAsia="Aptos"/>
          <w:color w:val="66706A"/>
        </w:rPr>
        <w:t>Use this section to track learning topics, not patient identifiers. Keep entries general enough to protect privacy.</w:t>
      </w:r>
    </w:p>
    <w:tbl>
      <w:tblPr>
        <w:tblW w:w="10584" w:type="dxa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2088"/>
        <w:gridCol w:w="2232"/>
        <w:gridCol w:w="2016"/>
        <w:gridCol w:w="1800"/>
        <w:gridCol w:w="1296"/>
      </w:tblGrid>
      <w:tr w:rsidR="00E1169A" w14:paraId="681893D3" w14:textId="77777777" w:rsidTr="002F21D4">
        <w:trPr>
          <w:tblHeader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E1757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Date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763D64D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Clinical Topic / Presentation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214F2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What I Learned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E60BFE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Question to Review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66E909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Resource / Guideline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06EF57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Follow-Up</w:t>
            </w:r>
          </w:p>
        </w:tc>
      </w:tr>
      <w:tr w:rsidR="00E1169A" w14:paraId="7740AA2C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EC00D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9/8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E8DCE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Uncontrolled hypertension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6F1E2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Home and office BP answer different questions; confirm technique and review treatment context before changing therapy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EE4734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How should home BP data be incorporated into follow-up at this site?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27D5D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Current hypertension guideline + site protocol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4391E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Reviewed with preceptor; added to study list</w:t>
            </w:r>
          </w:p>
        </w:tc>
      </w:tr>
      <w:tr w:rsidR="00E1169A" w14:paraId="42EDFC2F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CD4BC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9/10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E1CE0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Type 2 diabetes follow-up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A9416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Medication choice depends on glycemia, comorbidities, kidney function, adverse effects, cost, and patient priorities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13FC17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Which monitoring interval changes after a medication adjustment?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EF093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ADA Standards of Care + drug reference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425CC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Reviewed after clinical</w:t>
            </w:r>
          </w:p>
        </w:tc>
      </w:tr>
      <w:tr w:rsidR="00E1169A" w14:paraId="7613B1E0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F0724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9/17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5C505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Adult preventive visit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8368A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Preventive recommendations must be individualized to age, risk, prior results, and patient preferences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51E3D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How does prior screening history change the next interval?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9DC86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USPSTF recommendations + CDC immunization schedules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1D09F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Built a preventive-care checklist</w:t>
            </w:r>
          </w:p>
        </w:tc>
      </w:tr>
      <w:tr w:rsidR="00E1169A" w14:paraId="3948DF56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9BCF4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9/24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6C3FE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Older adult medication review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DC115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Medication burden and adverse effects can change the risk-benefit balance of otherwise reasonable treatments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9194E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Which medications deserve closer review in older adults with falls/dizziness?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09AC5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AGS Beers Criteria + Lexidrug/other approved drug reference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258AC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Discussed deprescribing principles with preceptor</w:t>
            </w:r>
          </w:p>
        </w:tc>
      </w:tr>
      <w:tr w:rsidR="00E1169A" w14:paraId="65C12277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ACBC2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BC3E0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Headache assessment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A45C0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History and neurologic exam determine whether primary headache management is appropriate or further evaluation is needed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6C198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Which red flags should change imaging/referral decisions?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1CB38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Current headache guideline / point-of-care reference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20073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Reviewed red-flag framework</w:t>
            </w:r>
          </w:p>
        </w:tc>
      </w:tr>
      <w:tr w:rsidR="00E1169A" w14:paraId="3B2D3D5B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54217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10/6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95DF0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Depression screening and follow-up</w:t>
            </w: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9ACE5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 positive screening result requires assessment, diagnostic evaluation, treatment planning, and follow-up systems</w:t>
            </w: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EB9B0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What follow-up interval does the clinic use after initiating treatment?</w:t>
            </w: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A836A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USPSTF recommendation + site behavioral-health workflow</w:t>
            </w: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46C62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Clarified local referral/follow-up process</w:t>
            </w:r>
          </w:p>
        </w:tc>
      </w:tr>
      <w:tr w:rsidR="00E1169A" w14:paraId="2DD1851E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AAF62F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B34E9A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DB4881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795F8C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5339CD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DD534E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</w:tr>
      <w:tr w:rsidR="00E1169A" w14:paraId="354F6A50" w14:textId="77777777" w:rsidTr="002F21D4">
        <w:trPr>
          <w:trHeight w:val="979"/>
          <w:jc w:val="center"/>
        </w:trPr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ECA910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1EAA7E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7FA241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1806278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4E5AAD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F98AD2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2AE589A" w14:textId="77777777" w:rsidR="00E1169A" w:rsidRDefault="00000000">
      <w:r>
        <w:br w:type="page"/>
      </w:r>
    </w:p>
    <w:p w14:paraId="3589E81C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6. </w:t>
      </w:r>
      <w:r>
        <w:rPr>
          <w:rFonts w:ascii="EB Garamond" w:eastAsia="EB Garamond" w:hAnsi="EB Garamond"/>
          <w:b/>
          <w:sz w:val="36"/>
        </w:rPr>
        <w:t>Skills and Experiences Tracker</w:t>
      </w:r>
    </w:p>
    <w:p w14:paraId="069A3DB0" w14:textId="77777777" w:rsidR="00E1169A" w:rsidRDefault="00000000">
      <w:pPr>
        <w:spacing w:after="140"/>
      </w:pPr>
      <w:r>
        <w:rPr>
          <w:rFonts w:eastAsia="Aptos"/>
          <w:color w:val="66706A"/>
        </w:rPr>
        <w:t>Use only the skills or experiences relevant to your course and setting. This is not a competency-validation form unless your program explicitly designates it as one.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152"/>
        <w:gridCol w:w="1944"/>
        <w:gridCol w:w="1944"/>
        <w:gridCol w:w="2952"/>
      </w:tblGrid>
      <w:tr w:rsidR="00E1169A" w14:paraId="788EFE82" w14:textId="77777777">
        <w:trPr>
          <w:tblHeader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3D2F4C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Skill / Experience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4C76D0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Observed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76DB3D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Performed With Guidance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C56630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Increasing Independence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EE0DA9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Notes / Next Step</w:t>
            </w:r>
          </w:p>
        </w:tc>
      </w:tr>
      <w:tr w:rsidR="00E1169A" w14:paraId="50FB9D2F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C6B39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Focused adult history + exam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E3A2B6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E5DC3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3DD10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B888FA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Needs fewer prompts for relevant negatives</w:t>
            </w:r>
          </w:p>
        </w:tc>
      </w:tr>
      <w:tr w:rsidR="00E1169A" w14:paraId="190A1FF6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C9F1A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Pediatric history/exam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48B53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5CCA2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C35B4F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092C13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age-specific exam practice</w:t>
            </w:r>
          </w:p>
        </w:tc>
      </w:tr>
      <w:tr w:rsidR="00E1169A" w14:paraId="7ADE093D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78EBD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Differential diagnosis formation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FBB943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FEF2A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AEDDE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E84773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State likely diagnosis + must-not-miss alternatives</w:t>
            </w:r>
          </w:p>
        </w:tc>
      </w:tr>
      <w:tr w:rsidR="00E1169A" w14:paraId="0C54A714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1552F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Oral case presentation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41C6D20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93429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6E45C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78334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Improving brevity and organization</w:t>
            </w:r>
          </w:p>
        </w:tc>
      </w:tr>
      <w:tr w:rsidR="00E1169A" w14:paraId="7BB06AED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9A7426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Medication reconciliation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668D08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3D1A5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292CF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ADD42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More consistent attention to OTC/supplements</w:t>
            </w:r>
          </w:p>
        </w:tc>
      </w:tr>
      <w:tr w:rsidR="00E1169A" w14:paraId="3BC86AAE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02FDF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Preventive-care review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D67801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C66E7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88BC9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B80C9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Use current recommendations and prior history</w:t>
            </w:r>
          </w:p>
        </w:tc>
      </w:tr>
      <w:tr w:rsidR="00E1169A" w14:paraId="6124967E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B15D1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Patient education / teach-back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4C366F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D1115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925E3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344AC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Use plain language and confirm understanding</w:t>
            </w:r>
          </w:p>
        </w:tc>
      </w:tr>
      <w:tr w:rsidR="00E1169A" w14:paraId="1CBECB2A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AE4B7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BP measurement technique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912EE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C2241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F093E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67BCB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Can identify common technique errors</w:t>
            </w:r>
          </w:p>
        </w:tc>
      </w:tr>
      <w:tr w:rsidR="00E1169A" w14:paraId="58F81A9D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84BD4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Basic lab interpretation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5E67BF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BED62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29EF0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C4CCF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linking abnormal results to next steps</w:t>
            </w:r>
          </w:p>
        </w:tc>
      </w:tr>
      <w:tr w:rsidR="00E1169A" w14:paraId="238AE82D" w14:textId="77777777">
        <w:trPr>
          <w:trHeight w:val="893"/>
          <w:jc w:val="center"/>
        </w:trPr>
        <w:tc>
          <w:tcPr>
            <w:tcW w:w="237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121DA2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Referral + follow-up planning</w:t>
            </w:r>
          </w:p>
        </w:tc>
        <w:tc>
          <w:tcPr>
            <w:tcW w:w="11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BA8080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E09E24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194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1FBDA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☒</w:t>
            </w:r>
          </w:p>
        </w:tc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BB327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Be more explicit about urgency and return precautions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82"/>
      </w:tblGrid>
      <w:tr w:rsidR="00E1169A" w14:paraId="66066F86" w14:textId="77777777">
        <w:trPr>
          <w:jc w:val="center"/>
        </w:trPr>
        <w:tc>
          <w:tcPr>
            <w:tcW w:w="1028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2F9D8FF" w14:textId="77777777" w:rsidR="00E1169A" w:rsidRDefault="00000000">
            <w:pPr>
              <w:spacing w:after="40"/>
            </w:pPr>
            <w:r>
              <w:rPr>
                <w:rFonts w:eastAsia="Aptos"/>
                <w:b/>
                <w:color w:val="2B6B27"/>
                <w:sz w:val="20"/>
              </w:rPr>
              <w:t>Scope and Supervision</w:t>
            </w:r>
            <w:r>
              <w:rPr>
                <w:rFonts w:eastAsia="Aptos"/>
                <w:sz w:val="19"/>
              </w:rPr>
              <w:br/>
              <w:t>Clinical experiences occur under the supervision and requirements established by your academic program, preceptor, clinical site, and applicable law. Do not use this tracker as authorization to perform a procedure or activity independently.</w:t>
            </w:r>
          </w:p>
        </w:tc>
      </w:tr>
    </w:tbl>
    <w:p w14:paraId="1FF14D0F" w14:textId="77777777" w:rsidR="00E1169A" w:rsidRDefault="00000000">
      <w:r>
        <w:br w:type="page"/>
      </w:r>
    </w:p>
    <w:p w14:paraId="07260913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7. </w:t>
      </w:r>
      <w:r>
        <w:rPr>
          <w:rFonts w:ascii="EB Garamond" w:eastAsia="EB Garamond" w:hAnsi="EB Garamond"/>
          <w:b/>
          <w:sz w:val="36"/>
        </w:rPr>
        <w:t>Feedback Tracker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2880"/>
        <w:gridCol w:w="2088"/>
        <w:gridCol w:w="2088"/>
        <w:gridCol w:w="1656"/>
      </w:tblGrid>
      <w:tr w:rsidR="00E1169A" w14:paraId="22E09E8D" w14:textId="77777777">
        <w:trPr>
          <w:tblHeader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36E276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Date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9AAA6D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Feedback / Observation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88DE1B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What I Will Continue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BD88B9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What I Will Change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2B6B2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33160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FFFFFF"/>
                <w:sz w:val="18"/>
              </w:rPr>
              <w:t>Follow-Up</w:t>
            </w:r>
          </w:p>
        </w:tc>
      </w:tr>
      <w:tr w:rsidR="00E1169A" w14:paraId="74B765DC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2F4DC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9/10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C8B5B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Presentations include too much background before the assessment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F0448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identifying key positives/negatives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821CC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Lead with a concise problem representation, then differential and plan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97C6E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Reassess 9/17</w:t>
            </w:r>
          </w:p>
        </w:tc>
      </w:tr>
      <w:tr w:rsidR="00E1169A" w14:paraId="0D282821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CB9B1D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9/17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0A7A7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Strong patient rapport; plans sometimes omit exact follow-up timing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099D7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clear education and shared decision-making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E9F35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State when/why follow-up should occur and what should trigger earlier evaluation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27EFD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Reassess 9/24</w:t>
            </w:r>
          </w:p>
        </w:tc>
      </w:tr>
      <w:tr w:rsidR="00E1169A" w14:paraId="2CB2C18E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982F9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9/24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657C48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Differentials more focused; medication plans need clearer monitoring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5DAF4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independent plan before discussion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18DC9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Include safety labs, adverse-effect monitoring, and reassessment interval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D3DC2E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Reassess 10/1</w:t>
            </w:r>
          </w:p>
        </w:tc>
      </w:tr>
      <w:tr w:rsidR="00E1169A" w14:paraId="55C8353F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0B82D5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10/1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B04AC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Improved efficiency and chart review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30BA62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concise presentations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6B2D7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Avoid unnecessary testing when history/exam do not support it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BD508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Reassess 10/8</w:t>
            </w:r>
          </w:p>
        </w:tc>
      </w:tr>
      <w:tr w:rsidR="00E1169A" w14:paraId="31921DA9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AF8DA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10/8</w:t>
            </w: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DAECE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Clinical reasoning is more organized; continue building pediatric exposure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BE551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Continue adult chronic-care progress</w:t>
            </w: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D26B9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Seek additional pediatric and adolescent visits when available</w:t>
            </w: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75F70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Final review 10/15</w:t>
            </w:r>
          </w:p>
        </w:tc>
      </w:tr>
      <w:tr w:rsidR="00E1169A" w14:paraId="26151E30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88A1B4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B050E8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1C97F1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3FDD337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9CB693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</w:tr>
      <w:tr w:rsidR="00E1169A" w14:paraId="06F25518" w14:textId="77777777">
        <w:trPr>
          <w:trHeight w:val="1181"/>
          <w:jc w:val="center"/>
        </w:trPr>
        <w:tc>
          <w:tcPr>
            <w:tcW w:w="1224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33E9C9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9C8F66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360B8E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6615B6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15BB9C4" w14:textId="77777777" w:rsidR="00E1169A" w:rsidRPr="002F21D4" w:rsidRDefault="00E1169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9B738BC" w14:textId="77777777" w:rsidR="00E1169A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>Questions I Want to Ask My Preceptor</w:t>
      </w:r>
    </w:p>
    <w:p w14:paraId="250854EC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When should I present my differential before reviewing the chart versus after reviewing prior records?</w:t>
      </w:r>
    </w:p>
    <w:p w14:paraId="4BAEA64B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Which parts of my oral presentations can I shorten without losing clinically important information?</w:t>
      </w:r>
    </w:p>
    <w:p w14:paraId="062E6CCE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What should I prioritize studying before the next two clinical days?</w:t>
      </w:r>
    </w:p>
    <w:p w14:paraId="3E10E158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Are there patient types or visit types I should deliberately seek during the second half of the rotation?</w:t>
      </w:r>
    </w:p>
    <w:p w14:paraId="28A1C3E3" w14:textId="77777777" w:rsidR="00E1169A" w:rsidRDefault="00000000">
      <w:pPr>
        <w:spacing w:after="100"/>
      </w:pPr>
      <w:r>
        <w:rPr>
          <w:rFonts w:eastAsia="Aptos"/>
          <w:color w:val="66706A"/>
          <w:sz w:val="18"/>
        </w:rPr>
        <w:t>• What is one documentation habit I should change now before it becomes routine?</w:t>
      </w:r>
    </w:p>
    <w:p w14:paraId="60E4A9EA" w14:textId="77777777" w:rsidR="00E1169A" w:rsidRDefault="00000000">
      <w:r>
        <w:br w:type="page"/>
      </w:r>
    </w:p>
    <w:p w14:paraId="3F5756AA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8. </w:t>
      </w:r>
      <w:r>
        <w:rPr>
          <w:rFonts w:ascii="EB Garamond" w:eastAsia="EB Garamond" w:hAnsi="EB Garamond"/>
          <w:b/>
          <w:sz w:val="36"/>
        </w:rPr>
        <w:t>Midpoint Check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E1169A" w14:paraId="713ED54A" w14:textId="77777777">
        <w:trPr>
          <w:trHeight w:val="1008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A49DBD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Hours completed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44174F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48 of 96 hours complete at midpoint; remaining six scheduled clinical days are sufficient if attendance proceeds as planned.</w:t>
            </w:r>
          </w:p>
        </w:tc>
      </w:tr>
      <w:tr w:rsidR="00E1169A" w14:paraId="745D323B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895C71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Objectives progressing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C058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Focused adult assessment, oral presentation, chronic-disease follow-up, medication reconciliation, and patient education are progressing well.</w:t>
            </w:r>
          </w:p>
        </w:tc>
      </w:tr>
      <w:tr w:rsidR="00E1169A" w14:paraId="61A26781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5CFCFE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Objectives needing attention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263FB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Need more pediatric/adolescent exposure and more deliberate practice with preventive-care integration and medication monitoring plans.</w:t>
            </w:r>
          </w:p>
        </w:tc>
      </w:tr>
      <w:tr w:rsidR="00E1169A" w14:paraId="7C50D013" w14:textId="77777777">
        <w:trPr>
          <w:trHeight w:val="1368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69991B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Clinical reasoning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236119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Headache/red-flag decisions, treatment escalation for uncontrolled chronic disease, and choosing when diagnostic testing is unlikely to change management still create uncertainty.</w:t>
            </w:r>
          </w:p>
        </w:tc>
      </w:tr>
      <w:tr w:rsidR="00E1169A" w14:paraId="4B255965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B5A7E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Feedback themes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DB7BB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Repeated feedback: lead with a concise problem representation; state a prioritized differential; make follow-up timing explicit; include monitoring when recommending medication changes.</w:t>
            </w:r>
          </w:p>
        </w:tc>
      </w:tr>
      <w:tr w:rsidR="00E1169A" w14:paraId="30D1203F" w14:textId="77777777">
        <w:trPr>
          <w:trHeight w:val="1368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E34996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Plan for second half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8AEDCA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Seek pediatric visits when available, review one guideline/topic after each clinical day, and present assessment/plan before asking the preceptor what they would do.</w:t>
            </w:r>
          </w:p>
        </w:tc>
      </w:tr>
    </w:tbl>
    <w:p w14:paraId="61CEDDC3" w14:textId="77777777" w:rsidR="00E1169A" w:rsidRDefault="00000000">
      <w:r>
        <w:br w:type="page"/>
      </w:r>
    </w:p>
    <w:p w14:paraId="581E699D" w14:textId="77777777" w:rsidR="00E1169A" w:rsidRDefault="00000000">
      <w:pPr>
        <w:pBdr>
          <w:bottom w:val="single" w:sz="8" w:space="2" w:color="2B6B27"/>
        </w:pBdr>
        <w:spacing w:before="80" w:after="140"/>
      </w:pPr>
      <w:r>
        <w:rPr>
          <w:rFonts w:ascii="EB Garamond" w:eastAsia="EB Garamond" w:hAnsi="EB Garamond"/>
          <w:b/>
          <w:color w:val="2B6B27"/>
          <w:sz w:val="36"/>
        </w:rPr>
        <w:lastRenderedPageBreak/>
        <w:t xml:space="preserve">9. </w:t>
      </w:r>
      <w:r>
        <w:rPr>
          <w:rFonts w:ascii="EB Garamond" w:eastAsia="EB Garamond" w:hAnsi="EB Garamond"/>
          <w:b/>
          <w:sz w:val="36"/>
        </w:rPr>
        <w:t>End-of-Rotation Reflection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301"/>
      </w:tblGrid>
      <w:tr w:rsidR="00E1169A" w14:paraId="64413BB6" w14:textId="77777777">
        <w:trPr>
          <w:trHeight w:val="129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C69BD5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Most important growth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54EE27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Clinical reasoning became more organized: I moved from collecting large amounts of data toward identifying which findings actually change the differential, testing, or plan.</w:t>
            </w:r>
          </w:p>
        </w:tc>
      </w:tr>
      <w:tr w:rsidR="00E1169A" w14:paraId="27C0F8F8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9CA463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Strongest areas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5B39B0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Adult chronic-disease visits, concise patient presentations, medication reconciliation, patient education, and explicit follow-up planning.</w:t>
            </w:r>
          </w:p>
        </w:tc>
      </w:tr>
      <w:tr w:rsidR="00E1169A" w14:paraId="3A0CF910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1C0861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Remaining gaps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7A3341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Pediatric exposure, women’s health procedures, and additional supervised practice with medication initiation/titration and diagnostic uncertainty.</w:t>
            </w:r>
          </w:p>
        </w:tc>
      </w:tr>
      <w:tr w:rsidR="00E1169A" w14:paraId="54151EAF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BBA59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Evidence use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E8B28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Used current guidelines and approved point-of-care/drug references to check preventive recommendations, medication considerations, and management questions arising during clinical.</w:t>
            </w:r>
          </w:p>
        </w:tc>
      </w:tr>
      <w:tr w:rsidR="00E1169A" w14:paraId="58AAB480" w14:textId="77777777">
        <w:trPr>
          <w:trHeight w:val="1152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470A46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Feedback applied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61EC15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Preceptor feedback changed my presentations, documentation, and follow-up planning. I now state my differential and proposed plan before asking for guidance.</w:t>
            </w:r>
          </w:p>
        </w:tc>
      </w:tr>
      <w:tr w:rsidR="00E1169A" w14:paraId="65278216" w14:textId="77777777">
        <w:trPr>
          <w:trHeight w:val="1296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DB684B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Next rotation goals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3CDE43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Prioritize pediatric/adolescent visits, continue refining medication-monitoring plans, and practice deciding when testing is or is not likely to change management.</w:t>
            </w:r>
          </w:p>
        </w:tc>
      </w:tr>
      <w:tr w:rsidR="00E1169A" w14:paraId="5B9F0899" w14:textId="77777777">
        <w:trPr>
          <w:trHeight w:val="1224"/>
          <w:jc w:val="center"/>
        </w:trPr>
        <w:tc>
          <w:tcPr>
            <w:tcW w:w="2952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shd w:val="clear" w:color="auto" w:fill="EEF5ED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B6665A" w14:textId="77777777" w:rsidR="00E1169A" w:rsidRDefault="00000000">
            <w:pPr>
              <w:spacing w:after="0"/>
            </w:pPr>
            <w:r>
              <w:rPr>
                <w:rFonts w:eastAsia="Aptos"/>
                <w:b/>
                <w:color w:val="2B6B27"/>
                <w:sz w:val="19"/>
              </w:rPr>
              <w:t>Professional follow-up</w:t>
            </w:r>
          </w:p>
        </w:tc>
        <w:tc>
          <w:tcPr>
            <w:tcW w:w="7301" w:type="dxa"/>
            <w:tcBorders>
              <w:top w:val="single" w:sz="4" w:space="0" w:color="C7D6C5"/>
              <w:left w:val="single" w:sz="4" w:space="0" w:color="C7D6C5"/>
              <w:bottom w:val="single" w:sz="4" w:space="0" w:color="C7D6C5"/>
              <w:right w:val="single" w:sz="4" w:space="0" w:color="C7D6C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154CC" w14:textId="77777777" w:rsidR="00E1169A" w:rsidRPr="002F21D4" w:rsidRDefault="00000000">
            <w:pPr>
              <w:spacing w:after="0"/>
              <w:rPr>
                <w:sz w:val="20"/>
                <w:szCs w:val="20"/>
              </w:rPr>
            </w:pPr>
            <w:r w:rsidRPr="002F21D4">
              <w:rPr>
                <w:sz w:val="20"/>
                <w:szCs w:val="20"/>
              </w:rPr>
              <w:t>Send a thank-you note to the preceptor, complete required evaluation, and ask whether it is appropriate to stay in professional contact after the rotation.</w:t>
            </w:r>
          </w:p>
        </w:tc>
      </w:tr>
    </w:tbl>
    <w:p w14:paraId="7F19C466" w14:textId="77777777" w:rsidR="00E1169A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t>Final Rotation Check</w:t>
      </w:r>
    </w:p>
    <w:p w14:paraId="1A906FB3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Required hours are entered and verified in the program-required system.</w:t>
      </w:r>
    </w:p>
    <w:p w14:paraId="3219D635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Required encounter or patient-log documentation is complete.</w:t>
      </w:r>
    </w:p>
    <w:p w14:paraId="243B813A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Midpoint and final evaluations are submitted as required.</w:t>
      </w:r>
    </w:p>
    <w:p w14:paraId="19D95CF9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Outstanding assignments or clinical documentation are complete.</w:t>
      </w:r>
    </w:p>
    <w:p w14:paraId="42D07A33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Preceptor and site requirements have been completed.</w:t>
      </w:r>
    </w:p>
    <w:p w14:paraId="52ECC3C7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Questions or clinical topics requiring continued study are captured for follow-up.</w:t>
      </w:r>
    </w:p>
    <w:p w14:paraId="601F8D8C" w14:textId="77777777" w:rsidR="00E1169A" w:rsidRDefault="00000000">
      <w:pPr>
        <w:spacing w:after="40"/>
        <w:ind w:left="29"/>
      </w:pPr>
      <w:r>
        <w:rPr>
          <w:rFonts w:eastAsia="Aptos"/>
          <w:color w:val="2B6B27"/>
        </w:rPr>
        <w:t>☒  Professional thank-you or follow-up has been completed when appropriate.</w:t>
      </w:r>
    </w:p>
    <w:p w14:paraId="35860F0C" w14:textId="119E4171" w:rsidR="00E1169A" w:rsidRDefault="00000000">
      <w:pPr>
        <w:spacing w:before="160"/>
      </w:pPr>
      <w:r>
        <w:rPr>
          <w:rFonts w:ascii="EB Garamond" w:eastAsia="EB Garamond" w:hAnsi="EB Garamond"/>
          <w:b/>
          <w:color w:val="2B6B27"/>
          <w:sz w:val="30"/>
        </w:rPr>
        <w:lastRenderedPageBreak/>
        <w:t>Useful Resources</w:t>
      </w:r>
    </w:p>
    <w:p w14:paraId="72FC1B5E" w14:textId="77777777" w:rsidR="00E1169A" w:rsidRDefault="00000000">
      <w:hyperlink r:id="rId9">
        <w:r>
          <w:rPr>
            <w:b/>
            <w:color w:val="2B6B27"/>
            <w:sz w:val="20"/>
            <w:u w:val="single"/>
          </w:rPr>
          <w:t>YourDNP Clinical Rotation Guide</w:t>
        </w:r>
      </w:hyperlink>
      <w:r>
        <w:rPr>
          <w:rFonts w:eastAsia="Aptos"/>
          <w:color w:val="66706A"/>
          <w:sz w:val="19"/>
        </w:rPr>
        <w:t xml:space="preserve">  Placement, onboarding, preceptor communication, documentation, and clinical tracking guidance.</w:t>
      </w:r>
    </w:p>
    <w:p w14:paraId="4CB2E773" w14:textId="77777777" w:rsidR="00E1169A" w:rsidRDefault="00000000">
      <w:hyperlink r:id="rId10">
        <w:r>
          <w:rPr>
            <w:b/>
            <w:color w:val="2B6B27"/>
            <w:sz w:val="20"/>
            <w:u w:val="single"/>
          </w:rPr>
          <w:t>YourDNP FNP Clinical Pearls</w:t>
        </w:r>
      </w:hyperlink>
      <w:r>
        <w:rPr>
          <w:rFonts w:eastAsia="Aptos"/>
          <w:color w:val="66706A"/>
          <w:sz w:val="19"/>
        </w:rPr>
        <w:t xml:space="preserve">  Clinical reasoning and advanced-practice assessment guidance.</w:t>
      </w:r>
    </w:p>
    <w:p w14:paraId="0665FBD3" w14:textId="77777777" w:rsidR="00E1169A" w:rsidRDefault="00000000">
      <w:hyperlink r:id="rId11">
        <w:r>
          <w:rPr>
            <w:b/>
            <w:color w:val="2B6B27"/>
            <w:sz w:val="20"/>
            <w:u w:val="single"/>
          </w:rPr>
          <w:t>YourDNP Resource Library</w:t>
        </w:r>
      </w:hyperlink>
      <w:r>
        <w:rPr>
          <w:rFonts w:eastAsia="Aptos"/>
          <w:color w:val="66706A"/>
          <w:sz w:val="19"/>
        </w:rPr>
        <w:t xml:space="preserve">  Primary guidelines, drug references, evidence tools, and clinical resources.</w:t>
      </w:r>
    </w:p>
    <w:sectPr w:rsidR="00E1169A" w:rsidSect="00034616">
      <w:headerReference w:type="default" r:id="rId12"/>
      <w:footerReference w:type="default" r:id="rId13"/>
      <w:pgSz w:w="12240" w:h="15840"/>
      <w:pgMar w:top="893" w:right="979" w:bottom="893" w:left="979" w:header="36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6E92" w14:textId="77777777" w:rsidR="00DD0224" w:rsidRDefault="00DD0224">
      <w:pPr>
        <w:spacing w:after="0" w:line="240" w:lineRule="auto"/>
      </w:pPr>
      <w:r>
        <w:separator/>
      </w:r>
    </w:p>
  </w:endnote>
  <w:endnote w:type="continuationSeparator" w:id="0">
    <w:p w14:paraId="0FA729B1" w14:textId="77777777" w:rsidR="00DD0224" w:rsidRDefault="00DD0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6860" w14:textId="77777777" w:rsidR="00E1169A" w:rsidRDefault="00000000">
    <w:pPr>
      <w:pStyle w:val="Footer"/>
      <w:jc w:val="center"/>
    </w:pPr>
    <w:r>
      <w:rPr>
        <w:rFonts w:eastAsia="Aptos"/>
        <w:color w:val="66706A"/>
        <w:sz w:val="16"/>
      </w:rPr>
      <w:t>Free educational resource from YourDNP.com  •  Verify requirements with your course rubric, faculty, and practice 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50F2" w14:textId="77777777" w:rsidR="00DD0224" w:rsidRDefault="00DD0224">
      <w:pPr>
        <w:spacing w:after="0" w:line="240" w:lineRule="auto"/>
      </w:pPr>
      <w:r>
        <w:separator/>
      </w:r>
    </w:p>
  </w:footnote>
  <w:footnote w:type="continuationSeparator" w:id="0">
    <w:p w14:paraId="5AD55325" w14:textId="77777777" w:rsidR="00DD0224" w:rsidRDefault="00DD0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7DC2" w14:textId="77777777" w:rsidR="00E1169A" w:rsidRDefault="00000000">
    <w:pPr>
      <w:pStyle w:val="Header"/>
      <w:jc w:val="right"/>
    </w:pPr>
    <w:r>
      <w:rPr>
        <w:rFonts w:eastAsia="Aptos"/>
        <w:b/>
        <w:color w:val="2B6B27"/>
        <w:sz w:val="17"/>
      </w:rPr>
      <w:t>YourDNP.com</w:t>
    </w:r>
    <w:r>
      <w:rPr>
        <w:rFonts w:eastAsia="Aptos"/>
        <w:color w:val="66706A"/>
        <w:sz w:val="17"/>
      </w:rPr>
      <w:t xml:space="preserve">  |  Clinical Rotation Planner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958129">
    <w:abstractNumId w:val="8"/>
  </w:num>
  <w:num w:numId="2" w16cid:durableId="1876771265">
    <w:abstractNumId w:val="6"/>
  </w:num>
  <w:num w:numId="3" w16cid:durableId="1885289721">
    <w:abstractNumId w:val="5"/>
  </w:num>
  <w:num w:numId="4" w16cid:durableId="355348001">
    <w:abstractNumId w:val="4"/>
  </w:num>
  <w:num w:numId="5" w16cid:durableId="276763194">
    <w:abstractNumId w:val="7"/>
  </w:num>
  <w:num w:numId="6" w16cid:durableId="858785807">
    <w:abstractNumId w:val="3"/>
  </w:num>
  <w:num w:numId="7" w16cid:durableId="2128312276">
    <w:abstractNumId w:val="2"/>
  </w:num>
  <w:num w:numId="8" w16cid:durableId="302854586">
    <w:abstractNumId w:val="1"/>
  </w:num>
  <w:num w:numId="9" w16cid:durableId="80898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21D4"/>
    <w:rsid w:val="00326F90"/>
    <w:rsid w:val="009312A2"/>
    <w:rsid w:val="00AA1D8D"/>
    <w:rsid w:val="00B47730"/>
    <w:rsid w:val="00CB0664"/>
    <w:rsid w:val="00DD0224"/>
    <w:rsid w:val="00E116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787FC4"/>
  <w14:defaultImageDpi w14:val="300"/>
  <w15:docId w15:val="{FD3F0CA3-A05E-40F4-B067-B1FCCC18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color w:val="20202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rdnp.com/resource-librar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rdnp.com/fnp-clinical-pear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rdnp.com/clinical-rotation-gui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 Hopkins</cp:lastModifiedBy>
  <cp:revision>2</cp:revision>
  <dcterms:created xsi:type="dcterms:W3CDTF">2013-12-23T23:15:00Z</dcterms:created>
  <dcterms:modified xsi:type="dcterms:W3CDTF">2026-08-10T22:26:00Z</dcterms:modified>
  <cp:category/>
</cp:coreProperties>
</file>